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CCA1" w14:textId="77777777" w:rsidR="00D840C1" w:rsidRDefault="00D840C1" w:rsidP="00D840C1">
      <w:pPr>
        <w:rPr>
          <w:b/>
          <w:sz w:val="32"/>
          <w:szCs w:val="32"/>
        </w:rPr>
      </w:pPr>
    </w:p>
    <w:p w14:paraId="07EF1D13" w14:textId="77777777" w:rsidR="00CE5DC3" w:rsidRPr="00CE5DC3" w:rsidRDefault="00CE5DC3" w:rsidP="00D840C1">
      <w:pPr>
        <w:rPr>
          <w:b/>
          <w:sz w:val="32"/>
          <w:szCs w:val="32"/>
        </w:rPr>
      </w:pPr>
      <w:r w:rsidRPr="00CE5DC3">
        <w:rPr>
          <w:b/>
          <w:sz w:val="32"/>
          <w:szCs w:val="32"/>
        </w:rPr>
        <w:t>Ships Point Improvement District (SPID) Board Meeting</w:t>
      </w:r>
    </w:p>
    <w:p w14:paraId="7B3B1A8B" w14:textId="77777777" w:rsidR="00CE5DC3" w:rsidRDefault="00947FC8" w:rsidP="000A4A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minutes</w:t>
      </w:r>
    </w:p>
    <w:p w14:paraId="257652FD" w14:textId="77777777" w:rsidR="00947FC8" w:rsidRPr="00205F99" w:rsidRDefault="00947FC8" w:rsidP="000A4A32">
      <w:pPr>
        <w:jc w:val="center"/>
        <w:rPr>
          <w:b/>
          <w:sz w:val="32"/>
          <w:szCs w:val="32"/>
        </w:rPr>
      </w:pPr>
    </w:p>
    <w:p w14:paraId="475A7D91" w14:textId="77777777" w:rsidR="000A4A32" w:rsidRDefault="000A4A32" w:rsidP="002D5E6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6752"/>
      </w:tblGrid>
      <w:tr w:rsidR="00CE5DC3" w:rsidRPr="000A4A32" w14:paraId="068C54A2" w14:textId="77777777" w:rsidTr="007469A3">
        <w:trPr>
          <w:trHeight w:val="432"/>
        </w:trPr>
        <w:tc>
          <w:tcPr>
            <w:tcW w:w="1884" w:type="dxa"/>
            <w:vAlign w:val="center"/>
          </w:tcPr>
          <w:p w14:paraId="758FEC5A" w14:textId="77777777" w:rsidR="00CE5DC3" w:rsidRPr="000A4A32" w:rsidRDefault="00CE5DC3" w:rsidP="00CE5DC3">
            <w:pPr>
              <w:rPr>
                <w:b/>
              </w:rPr>
            </w:pPr>
            <w:r w:rsidRPr="000A4A32">
              <w:rPr>
                <w:b/>
              </w:rPr>
              <w:t>Date</w:t>
            </w:r>
          </w:p>
        </w:tc>
        <w:tc>
          <w:tcPr>
            <w:tcW w:w="6752" w:type="dxa"/>
            <w:vAlign w:val="center"/>
          </w:tcPr>
          <w:p w14:paraId="2D6B403E" w14:textId="77777777" w:rsidR="002728FD" w:rsidRPr="000A4A32" w:rsidRDefault="00FB3113" w:rsidP="00CE5DC3">
            <w:pPr>
              <w:rPr>
                <w:b/>
              </w:rPr>
            </w:pPr>
            <w:r>
              <w:rPr>
                <w:b/>
              </w:rPr>
              <w:t>Apr 13</w:t>
            </w:r>
            <w:r w:rsidR="002728FD">
              <w:rPr>
                <w:b/>
              </w:rPr>
              <w:t>, 2022</w:t>
            </w:r>
          </w:p>
        </w:tc>
      </w:tr>
    </w:tbl>
    <w:p w14:paraId="2C2ACA85" w14:textId="77777777" w:rsidR="00D2383B" w:rsidRDefault="00D2383B" w:rsidP="00FC5796">
      <w:pPr>
        <w:rPr>
          <w:bCs/>
        </w:rPr>
      </w:pPr>
    </w:p>
    <w:p w14:paraId="5CC825DA" w14:textId="7C002224" w:rsidR="002D26E8" w:rsidRPr="00D6175A" w:rsidRDefault="007872B8" w:rsidP="00FC5796">
      <w:pPr>
        <w:rPr>
          <w:bCs/>
          <w:sz w:val="22"/>
          <w:szCs w:val="22"/>
        </w:rPr>
      </w:pPr>
      <w:r w:rsidRPr="00D6175A">
        <w:rPr>
          <w:bCs/>
          <w:sz w:val="22"/>
          <w:szCs w:val="22"/>
        </w:rPr>
        <w:t>Absent: W</w:t>
      </w:r>
      <w:r w:rsidR="00C54084">
        <w:rPr>
          <w:bCs/>
          <w:sz w:val="22"/>
          <w:szCs w:val="22"/>
        </w:rPr>
        <w:t xml:space="preserve">. </w:t>
      </w:r>
      <w:proofErr w:type="spellStart"/>
      <w:r w:rsidRPr="00D6175A">
        <w:rPr>
          <w:bCs/>
          <w:sz w:val="22"/>
          <w:szCs w:val="22"/>
        </w:rPr>
        <w:t>Trussler</w:t>
      </w:r>
      <w:proofErr w:type="spellEnd"/>
    </w:p>
    <w:p w14:paraId="57175E35" w14:textId="77777777" w:rsidR="00D6175A" w:rsidRPr="00087A63" w:rsidRDefault="00D6175A" w:rsidP="00FC5796">
      <w:pPr>
        <w:rPr>
          <w:b/>
        </w:rPr>
      </w:pPr>
    </w:p>
    <w:tbl>
      <w:tblPr>
        <w:tblStyle w:val="TableGrid"/>
        <w:tblW w:w="92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778"/>
        <w:gridCol w:w="5956"/>
        <w:gridCol w:w="1536"/>
      </w:tblGrid>
      <w:tr w:rsidR="00F84C6F" w:rsidRPr="009D0CE1" w14:paraId="2A5FC4E5" w14:textId="77777777" w:rsidTr="0073350E">
        <w:tc>
          <w:tcPr>
            <w:tcW w:w="1778" w:type="dxa"/>
          </w:tcPr>
          <w:p w14:paraId="05610ED7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 Items/ Reports </w:t>
            </w:r>
          </w:p>
        </w:tc>
        <w:tc>
          <w:tcPr>
            <w:tcW w:w="5956" w:type="dxa"/>
          </w:tcPr>
          <w:p w14:paraId="7782FE22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1536" w:type="dxa"/>
          </w:tcPr>
          <w:p w14:paraId="775C48BF" w14:textId="77777777" w:rsidR="00CE5DC3" w:rsidRPr="009D0CE1" w:rsidRDefault="00CE5DC3" w:rsidP="007872B8">
            <w:pPr>
              <w:ind w:right="-108"/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Responsibility </w:t>
            </w:r>
          </w:p>
        </w:tc>
      </w:tr>
      <w:tr w:rsidR="00F84C6F" w:rsidRPr="009D0CE1" w14:paraId="4864139E" w14:textId="77777777" w:rsidTr="0073350E">
        <w:trPr>
          <w:trHeight w:val="1440"/>
        </w:trPr>
        <w:tc>
          <w:tcPr>
            <w:tcW w:w="1778" w:type="dxa"/>
          </w:tcPr>
          <w:p w14:paraId="37114242" w14:textId="77777777" w:rsidR="00577610" w:rsidRDefault="00577610" w:rsidP="00CE5DC3">
            <w:pPr>
              <w:rPr>
                <w:sz w:val="22"/>
                <w:szCs w:val="22"/>
              </w:rPr>
            </w:pPr>
          </w:p>
          <w:p w14:paraId="2C27B93E" w14:textId="77777777" w:rsidR="002E0028" w:rsidRDefault="002E002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0AFA3C25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3CE208E5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09DC4A42" w14:textId="77777777" w:rsidR="00D6175A" w:rsidRDefault="00D6175A" w:rsidP="00CE5DC3">
            <w:pPr>
              <w:rPr>
                <w:sz w:val="22"/>
                <w:szCs w:val="22"/>
              </w:rPr>
            </w:pPr>
          </w:p>
          <w:p w14:paraId="6574705E" w14:textId="77777777" w:rsidR="00D6175A" w:rsidRDefault="00D6175A" w:rsidP="00CE5DC3">
            <w:pPr>
              <w:rPr>
                <w:sz w:val="22"/>
                <w:szCs w:val="22"/>
              </w:rPr>
            </w:pPr>
          </w:p>
          <w:p w14:paraId="467C0E89" w14:textId="6319879D" w:rsidR="002E0028" w:rsidRDefault="0080665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  <w:p w14:paraId="20467357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49C394B7" w14:textId="77777777" w:rsidR="00D0611B" w:rsidRDefault="00D0611B" w:rsidP="00CE5DC3">
            <w:pPr>
              <w:rPr>
                <w:sz w:val="22"/>
                <w:szCs w:val="22"/>
              </w:rPr>
            </w:pPr>
          </w:p>
          <w:p w14:paraId="6F2D0E96" w14:textId="77777777" w:rsidR="00D26813" w:rsidRDefault="00D26813" w:rsidP="00CE5DC3">
            <w:pPr>
              <w:rPr>
                <w:sz w:val="22"/>
                <w:szCs w:val="22"/>
              </w:rPr>
            </w:pPr>
          </w:p>
          <w:p w14:paraId="2E959617" w14:textId="77777777" w:rsidR="00D0611B" w:rsidRPr="009D0CE1" w:rsidRDefault="00D0611B" w:rsidP="00CE5DC3">
            <w:pPr>
              <w:rPr>
                <w:sz w:val="22"/>
                <w:szCs w:val="22"/>
              </w:rPr>
            </w:pPr>
          </w:p>
        </w:tc>
        <w:tc>
          <w:tcPr>
            <w:tcW w:w="5956" w:type="dxa"/>
          </w:tcPr>
          <w:p w14:paraId="3BABC51A" w14:textId="77777777" w:rsidR="00577610" w:rsidRDefault="00577610" w:rsidP="00A72355">
            <w:pPr>
              <w:rPr>
                <w:sz w:val="22"/>
                <w:szCs w:val="22"/>
              </w:rPr>
            </w:pPr>
          </w:p>
          <w:p w14:paraId="47B53AA1" w14:textId="77777777" w:rsidR="00806658" w:rsidRPr="00A72355" w:rsidRDefault="00806658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Review </w:t>
            </w:r>
            <w:r w:rsidR="004619B9">
              <w:rPr>
                <w:sz w:val="22"/>
                <w:szCs w:val="22"/>
              </w:rPr>
              <w:t>A</w:t>
            </w:r>
            <w:r w:rsidRPr="00A72355">
              <w:rPr>
                <w:sz w:val="22"/>
                <w:szCs w:val="22"/>
              </w:rPr>
              <w:t>genda</w:t>
            </w:r>
          </w:p>
          <w:p w14:paraId="78998CCB" w14:textId="0F0D288E" w:rsidR="00D6175A" w:rsidRPr="005A5336" w:rsidRDefault="00D6175A" w:rsidP="00D6175A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to the Finance section: report on outstanding water toll and parcel tax accounts and review of capital loans</w:t>
            </w:r>
          </w:p>
          <w:p w14:paraId="556FF0CA" w14:textId="35BB3165" w:rsidR="00ED378F" w:rsidRPr="00D6175A" w:rsidRDefault="006A68F8" w:rsidP="00D6175A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6175A">
              <w:rPr>
                <w:sz w:val="22"/>
                <w:szCs w:val="22"/>
              </w:rPr>
              <w:t>Motion to adopt agenda</w:t>
            </w:r>
            <w:r w:rsidR="00B87830" w:rsidRPr="00D6175A">
              <w:rPr>
                <w:sz w:val="22"/>
                <w:szCs w:val="22"/>
              </w:rPr>
              <w:t xml:space="preserve"> </w:t>
            </w:r>
            <w:r w:rsidR="004D59B8" w:rsidRPr="00D6175A">
              <w:rPr>
                <w:sz w:val="22"/>
                <w:szCs w:val="22"/>
              </w:rPr>
              <w:t xml:space="preserve">as amended M/S/C M </w:t>
            </w:r>
            <w:proofErr w:type="spellStart"/>
            <w:r w:rsidR="004D59B8" w:rsidRPr="00D6175A">
              <w:rPr>
                <w:sz w:val="22"/>
                <w:szCs w:val="22"/>
              </w:rPr>
              <w:t>Fakaro</w:t>
            </w:r>
            <w:proofErr w:type="spellEnd"/>
            <w:r w:rsidR="004D59B8" w:rsidRPr="00D6175A">
              <w:rPr>
                <w:sz w:val="22"/>
                <w:szCs w:val="22"/>
              </w:rPr>
              <w:t xml:space="preserve">, J Reinhardt </w:t>
            </w:r>
          </w:p>
          <w:p w14:paraId="42754A6D" w14:textId="77777777" w:rsidR="00205F99" w:rsidRPr="00A72355" w:rsidRDefault="00205F99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Minutes </w:t>
            </w:r>
          </w:p>
          <w:p w14:paraId="28B517A8" w14:textId="77777777" w:rsidR="00806658" w:rsidRPr="005A5336" w:rsidRDefault="00806658" w:rsidP="004D59B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>Motion to adopt the minutes</w:t>
            </w:r>
            <w:r w:rsidR="00B617D3" w:rsidRPr="005A5336">
              <w:rPr>
                <w:sz w:val="22"/>
                <w:szCs w:val="22"/>
              </w:rPr>
              <w:t xml:space="preserve">, as amended </w:t>
            </w:r>
            <w:r w:rsidR="004619B9" w:rsidRPr="005A5336">
              <w:rPr>
                <w:sz w:val="22"/>
                <w:szCs w:val="22"/>
              </w:rPr>
              <w:t>of the</w:t>
            </w:r>
            <w:r w:rsidR="00A53C76" w:rsidRPr="005A5336">
              <w:rPr>
                <w:sz w:val="22"/>
                <w:szCs w:val="22"/>
              </w:rPr>
              <w:t xml:space="preserve"> </w:t>
            </w:r>
            <w:r w:rsidR="00FB3113">
              <w:rPr>
                <w:sz w:val="22"/>
                <w:szCs w:val="22"/>
              </w:rPr>
              <w:t>March 9</w:t>
            </w:r>
            <w:r w:rsidR="008E4C0A">
              <w:rPr>
                <w:sz w:val="22"/>
                <w:szCs w:val="22"/>
              </w:rPr>
              <w:t xml:space="preserve">, </w:t>
            </w:r>
            <w:proofErr w:type="gramStart"/>
            <w:r w:rsidR="008E4C0A">
              <w:rPr>
                <w:sz w:val="22"/>
                <w:szCs w:val="22"/>
              </w:rPr>
              <w:t>2022</w:t>
            </w:r>
            <w:proofErr w:type="gramEnd"/>
            <w:r w:rsidR="008E4C0A">
              <w:rPr>
                <w:sz w:val="22"/>
                <w:szCs w:val="22"/>
              </w:rPr>
              <w:t xml:space="preserve"> </w:t>
            </w:r>
            <w:r w:rsidR="00C10AF6" w:rsidRPr="005A5336">
              <w:rPr>
                <w:sz w:val="22"/>
                <w:szCs w:val="22"/>
              </w:rPr>
              <w:t>board meeting</w:t>
            </w:r>
            <w:r w:rsidR="004D59B8">
              <w:rPr>
                <w:sz w:val="22"/>
                <w:szCs w:val="22"/>
              </w:rPr>
              <w:t xml:space="preserve"> M/S/C J Reinhardt, M </w:t>
            </w:r>
            <w:proofErr w:type="spellStart"/>
            <w:r w:rsidR="004D59B8">
              <w:rPr>
                <w:sz w:val="22"/>
                <w:szCs w:val="22"/>
              </w:rPr>
              <w:t>Fakaro</w:t>
            </w:r>
            <w:proofErr w:type="spellEnd"/>
          </w:p>
        </w:tc>
        <w:tc>
          <w:tcPr>
            <w:tcW w:w="1536" w:type="dxa"/>
          </w:tcPr>
          <w:p w14:paraId="46595CA0" w14:textId="77777777" w:rsidR="00CE5DC3" w:rsidRDefault="00CE5DC3" w:rsidP="00CE5DC3">
            <w:pPr>
              <w:rPr>
                <w:sz w:val="22"/>
                <w:szCs w:val="22"/>
              </w:rPr>
            </w:pPr>
          </w:p>
          <w:p w14:paraId="6D4342BC" w14:textId="77777777" w:rsidR="008B580B" w:rsidRPr="009D0CE1" w:rsidRDefault="008B580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F84C6F" w:rsidRPr="00AC2297" w14:paraId="4A51BCBB" w14:textId="77777777" w:rsidTr="0073350E">
        <w:trPr>
          <w:trHeight w:val="1440"/>
        </w:trPr>
        <w:tc>
          <w:tcPr>
            <w:tcW w:w="1778" w:type="dxa"/>
          </w:tcPr>
          <w:p w14:paraId="42516ED6" w14:textId="77777777" w:rsidR="00654891" w:rsidRPr="00AC2297" w:rsidRDefault="00654891" w:rsidP="00CE5DC3">
            <w:pPr>
              <w:rPr>
                <w:sz w:val="22"/>
                <w:szCs w:val="22"/>
              </w:rPr>
            </w:pPr>
          </w:p>
          <w:p w14:paraId="4915EACC" w14:textId="77777777" w:rsidR="00CF10F1" w:rsidRDefault="00CF10F1" w:rsidP="003E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Report</w:t>
            </w:r>
          </w:p>
          <w:p w14:paraId="68DD72E4" w14:textId="77777777" w:rsidR="00654891" w:rsidRPr="00AC2297" w:rsidRDefault="00654891" w:rsidP="003E6344">
            <w:pPr>
              <w:rPr>
                <w:sz w:val="22"/>
                <w:szCs w:val="22"/>
              </w:rPr>
            </w:pPr>
          </w:p>
        </w:tc>
        <w:tc>
          <w:tcPr>
            <w:tcW w:w="5956" w:type="dxa"/>
          </w:tcPr>
          <w:p w14:paraId="128D8C6B" w14:textId="77777777" w:rsidR="007575EE" w:rsidRDefault="007575EE" w:rsidP="007575EE">
            <w:pPr>
              <w:rPr>
                <w:sz w:val="22"/>
                <w:szCs w:val="22"/>
              </w:rPr>
            </w:pPr>
          </w:p>
          <w:p w14:paraId="620168EC" w14:textId="477D380E" w:rsidR="00D6175A" w:rsidRDefault="000178FD" w:rsidP="009D75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617D3">
              <w:rPr>
                <w:sz w:val="22"/>
                <w:szCs w:val="22"/>
              </w:rPr>
              <w:t xml:space="preserve">Water </w:t>
            </w:r>
            <w:r w:rsidR="007575EE" w:rsidRPr="00B617D3">
              <w:rPr>
                <w:sz w:val="22"/>
                <w:szCs w:val="22"/>
              </w:rPr>
              <w:t>Operations</w:t>
            </w:r>
            <w:r w:rsidR="00E76DA6" w:rsidRPr="00B617D3">
              <w:rPr>
                <w:sz w:val="22"/>
                <w:szCs w:val="22"/>
              </w:rPr>
              <w:t xml:space="preserve"> </w:t>
            </w:r>
            <w:r w:rsidR="007575EE" w:rsidRPr="00B617D3">
              <w:rPr>
                <w:sz w:val="22"/>
                <w:szCs w:val="22"/>
              </w:rPr>
              <w:t>Report</w:t>
            </w:r>
            <w:r w:rsidR="00FE381B">
              <w:rPr>
                <w:sz w:val="22"/>
                <w:szCs w:val="22"/>
              </w:rPr>
              <w:t xml:space="preserve"> – sent via email and posted to shared </w:t>
            </w:r>
            <w:r w:rsidR="00901518">
              <w:rPr>
                <w:sz w:val="22"/>
                <w:szCs w:val="22"/>
              </w:rPr>
              <w:t xml:space="preserve">drive. </w:t>
            </w:r>
          </w:p>
          <w:p w14:paraId="29DC4049" w14:textId="77777777" w:rsidR="007578DD" w:rsidRDefault="007578DD" w:rsidP="007578DD">
            <w:pPr>
              <w:pStyle w:val="ListParagraph"/>
              <w:rPr>
                <w:sz w:val="22"/>
                <w:szCs w:val="22"/>
              </w:rPr>
            </w:pPr>
          </w:p>
          <w:p w14:paraId="5B509473" w14:textId="4B1A900D" w:rsidR="006701BB" w:rsidRDefault="00EF56BA" w:rsidP="009D75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</w:t>
            </w:r>
            <w:r w:rsidR="00901518">
              <w:rPr>
                <w:sz w:val="22"/>
                <w:szCs w:val="22"/>
              </w:rPr>
              <w:t>that SPID spend up to $2K to replace, install and program the replacement circuit breaker panel of the emergency diesel generator</w:t>
            </w:r>
            <w:r>
              <w:rPr>
                <w:sz w:val="22"/>
                <w:szCs w:val="22"/>
              </w:rPr>
              <w:t xml:space="preserve"> M/S/C J Wahl, R. Timbers</w:t>
            </w:r>
          </w:p>
          <w:p w14:paraId="4B065D70" w14:textId="77777777" w:rsidR="007578DD" w:rsidRPr="007578DD" w:rsidRDefault="007578DD" w:rsidP="007578DD">
            <w:pPr>
              <w:rPr>
                <w:sz w:val="22"/>
                <w:szCs w:val="22"/>
              </w:rPr>
            </w:pPr>
          </w:p>
          <w:p w14:paraId="3AD2C3A2" w14:textId="09F981CB" w:rsidR="00D6175A" w:rsidRDefault="00D6175A" w:rsidP="009D75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Confirmed that SPID water operator</w:t>
            </w:r>
            <w:r w:rsidR="00EF56BA">
              <w:rPr>
                <w:sz w:val="22"/>
                <w:szCs w:val="22"/>
              </w:rPr>
              <w:t xml:space="preserve">, D. Shepherd, </w:t>
            </w:r>
            <w:r>
              <w:rPr>
                <w:sz w:val="22"/>
                <w:szCs w:val="22"/>
              </w:rPr>
              <w:t xml:space="preserve">is also now working as the Fanny Bay Waterworks </w:t>
            </w:r>
            <w:r w:rsidR="00EF56BA">
              <w:rPr>
                <w:sz w:val="22"/>
                <w:szCs w:val="22"/>
              </w:rPr>
              <w:t xml:space="preserve">water </w:t>
            </w:r>
            <w:r>
              <w:rPr>
                <w:sz w:val="22"/>
                <w:szCs w:val="22"/>
              </w:rPr>
              <w:t>operator</w:t>
            </w:r>
          </w:p>
          <w:p w14:paraId="55B7D449" w14:textId="77777777" w:rsidR="007578DD" w:rsidRPr="007578DD" w:rsidRDefault="007578DD" w:rsidP="007578DD">
            <w:pPr>
              <w:rPr>
                <w:sz w:val="22"/>
                <w:szCs w:val="22"/>
              </w:rPr>
            </w:pPr>
          </w:p>
          <w:p w14:paraId="29444141" w14:textId="5A59DCFE" w:rsidR="00D6175A" w:rsidRDefault="007578DD" w:rsidP="009D75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Admin to add annual VIHA report requirement to the admin calendar</w:t>
            </w:r>
          </w:p>
          <w:p w14:paraId="3D5BE6BB" w14:textId="77777777" w:rsidR="00E14F95" w:rsidRDefault="00E14F95" w:rsidP="00B617D3">
            <w:pPr>
              <w:rPr>
                <w:sz w:val="22"/>
                <w:szCs w:val="22"/>
              </w:rPr>
            </w:pPr>
          </w:p>
          <w:p w14:paraId="09AF5D71" w14:textId="77777777" w:rsidR="00631354" w:rsidRPr="00FE381B" w:rsidRDefault="000178FD" w:rsidP="00FE381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617D3">
              <w:rPr>
                <w:sz w:val="22"/>
                <w:szCs w:val="22"/>
              </w:rPr>
              <w:t xml:space="preserve">Water </w:t>
            </w:r>
            <w:r w:rsidR="002D5E6B" w:rsidRPr="00B617D3">
              <w:rPr>
                <w:sz w:val="22"/>
                <w:szCs w:val="22"/>
              </w:rPr>
              <w:t xml:space="preserve">Technical </w:t>
            </w:r>
            <w:r w:rsidR="0098449F" w:rsidRPr="00B617D3">
              <w:rPr>
                <w:sz w:val="22"/>
                <w:szCs w:val="22"/>
              </w:rPr>
              <w:t xml:space="preserve">Committee </w:t>
            </w:r>
            <w:r w:rsidR="002D5E6B" w:rsidRPr="00B617D3">
              <w:rPr>
                <w:sz w:val="22"/>
                <w:szCs w:val="22"/>
              </w:rPr>
              <w:t>Report</w:t>
            </w:r>
            <w:r w:rsidR="00FE381B">
              <w:rPr>
                <w:sz w:val="22"/>
                <w:szCs w:val="22"/>
              </w:rPr>
              <w:t xml:space="preserve"> - sent via email and posted to shared drive</w:t>
            </w:r>
          </w:p>
          <w:p w14:paraId="27A072CC" w14:textId="77777777" w:rsidR="00CA5903" w:rsidRPr="00CA5903" w:rsidRDefault="00CA5903" w:rsidP="00CA5903">
            <w:pPr>
              <w:rPr>
                <w:sz w:val="22"/>
                <w:szCs w:val="22"/>
              </w:rPr>
            </w:pPr>
          </w:p>
          <w:p w14:paraId="5160BF2B" w14:textId="675111C7" w:rsidR="00AC60AC" w:rsidRPr="00AC60AC" w:rsidRDefault="00EC5249" w:rsidP="00AC60AC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BWS</w:t>
            </w:r>
            <w:r w:rsidR="00DD00E9">
              <w:rPr>
                <w:sz w:val="22"/>
                <w:szCs w:val="22"/>
              </w:rPr>
              <w:t xml:space="preserve">: </w:t>
            </w:r>
            <w:r w:rsidR="00123529">
              <w:rPr>
                <w:sz w:val="22"/>
                <w:szCs w:val="22"/>
              </w:rPr>
              <w:t xml:space="preserve">BWS has purchased a new meter that will make the specific conductivity testing of SPID wells much easier – the new equipment replaces a </w:t>
            </w:r>
            <w:proofErr w:type="spellStart"/>
            <w:proofErr w:type="gramStart"/>
            <w:r w:rsidR="00123529">
              <w:rPr>
                <w:sz w:val="22"/>
                <w:szCs w:val="22"/>
              </w:rPr>
              <w:t>labour</w:t>
            </w:r>
            <w:proofErr w:type="spellEnd"/>
            <w:r w:rsidR="00123529">
              <w:rPr>
                <w:sz w:val="22"/>
                <w:szCs w:val="22"/>
              </w:rPr>
              <w:t xml:space="preserve"> intensive</w:t>
            </w:r>
            <w:proofErr w:type="gramEnd"/>
            <w:r w:rsidR="00123529">
              <w:rPr>
                <w:sz w:val="22"/>
                <w:szCs w:val="22"/>
              </w:rPr>
              <w:t xml:space="preserve"> procedure; thank you to BWS for voluntarily testing our wells along with the other wells they test.</w:t>
            </w:r>
          </w:p>
          <w:p w14:paraId="0792C445" w14:textId="77777777" w:rsidR="00C67D12" w:rsidRPr="00C67D12" w:rsidRDefault="00C67D12" w:rsidP="00003145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248030E8" w14:textId="77777777" w:rsidR="00731F54" w:rsidRDefault="00E66C6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4E103B4" w14:textId="0525AEBE" w:rsidR="00731F54" w:rsidRDefault="00F8034E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Shepherd</w:t>
            </w:r>
          </w:p>
          <w:p w14:paraId="3FAB7D7D" w14:textId="77777777" w:rsidR="007578DD" w:rsidRDefault="007578DD" w:rsidP="00CE5DC3">
            <w:pPr>
              <w:rPr>
                <w:sz w:val="22"/>
                <w:szCs w:val="22"/>
              </w:rPr>
            </w:pPr>
          </w:p>
          <w:p w14:paraId="02CF4117" w14:textId="77777777" w:rsidR="007578DD" w:rsidRDefault="007578DD" w:rsidP="00CE5DC3">
            <w:pPr>
              <w:rPr>
                <w:sz w:val="22"/>
                <w:szCs w:val="22"/>
              </w:rPr>
            </w:pPr>
          </w:p>
          <w:p w14:paraId="0956B88D" w14:textId="77777777" w:rsidR="007578DD" w:rsidRDefault="007578DD" w:rsidP="00CE5DC3">
            <w:pPr>
              <w:rPr>
                <w:sz w:val="22"/>
                <w:szCs w:val="22"/>
              </w:rPr>
            </w:pPr>
          </w:p>
          <w:p w14:paraId="2133C58B" w14:textId="77777777" w:rsidR="007578DD" w:rsidRDefault="007578DD" w:rsidP="00CE5DC3">
            <w:pPr>
              <w:rPr>
                <w:sz w:val="22"/>
                <w:szCs w:val="22"/>
              </w:rPr>
            </w:pPr>
          </w:p>
          <w:p w14:paraId="37F93DAE" w14:textId="77777777" w:rsidR="007578DD" w:rsidRDefault="007578DD" w:rsidP="00CE5DC3">
            <w:pPr>
              <w:rPr>
                <w:sz w:val="22"/>
                <w:szCs w:val="22"/>
              </w:rPr>
            </w:pPr>
          </w:p>
          <w:p w14:paraId="33662D13" w14:textId="77777777" w:rsidR="007578DD" w:rsidRDefault="007578DD" w:rsidP="00CE5DC3">
            <w:pPr>
              <w:rPr>
                <w:sz w:val="22"/>
                <w:szCs w:val="22"/>
              </w:rPr>
            </w:pPr>
          </w:p>
          <w:p w14:paraId="1E7F6EF2" w14:textId="77777777" w:rsidR="007578DD" w:rsidRDefault="007578DD" w:rsidP="00CE5DC3">
            <w:pPr>
              <w:rPr>
                <w:sz w:val="22"/>
                <w:szCs w:val="22"/>
              </w:rPr>
            </w:pPr>
          </w:p>
          <w:p w14:paraId="586B6BA8" w14:textId="77777777" w:rsidR="007578DD" w:rsidRDefault="007578DD" w:rsidP="00CE5DC3">
            <w:pPr>
              <w:rPr>
                <w:sz w:val="22"/>
                <w:szCs w:val="22"/>
              </w:rPr>
            </w:pPr>
          </w:p>
          <w:p w14:paraId="2B63B741" w14:textId="77777777" w:rsidR="007578DD" w:rsidRDefault="007578DD" w:rsidP="00CE5DC3">
            <w:pPr>
              <w:rPr>
                <w:sz w:val="22"/>
                <w:szCs w:val="22"/>
              </w:rPr>
            </w:pPr>
          </w:p>
          <w:p w14:paraId="04C6C1F4" w14:textId="77777777" w:rsidR="007578DD" w:rsidRDefault="007578DD" w:rsidP="00CE5DC3">
            <w:pPr>
              <w:rPr>
                <w:sz w:val="22"/>
                <w:szCs w:val="22"/>
              </w:rPr>
            </w:pPr>
          </w:p>
          <w:p w14:paraId="4A0C3160" w14:textId="77777777" w:rsidR="007578DD" w:rsidRDefault="007578DD" w:rsidP="00CE5DC3">
            <w:pPr>
              <w:rPr>
                <w:sz w:val="22"/>
                <w:szCs w:val="22"/>
              </w:rPr>
            </w:pPr>
          </w:p>
          <w:p w14:paraId="34FBDD64" w14:textId="77777777" w:rsidR="007578DD" w:rsidRDefault="007578DD" w:rsidP="00CE5DC3">
            <w:pPr>
              <w:rPr>
                <w:sz w:val="22"/>
                <w:szCs w:val="22"/>
              </w:rPr>
            </w:pPr>
          </w:p>
          <w:p w14:paraId="11AD6101" w14:textId="3D6910A2" w:rsidR="007578DD" w:rsidRDefault="007578DD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Shepherd</w:t>
            </w:r>
          </w:p>
          <w:p w14:paraId="2757FEE9" w14:textId="77777777" w:rsidR="00F8034E" w:rsidRDefault="00F8034E" w:rsidP="00CE5DC3">
            <w:pPr>
              <w:rPr>
                <w:sz w:val="22"/>
                <w:szCs w:val="22"/>
              </w:rPr>
            </w:pPr>
          </w:p>
          <w:p w14:paraId="75DB0769" w14:textId="77777777" w:rsidR="00C10AF6" w:rsidRDefault="00C10AF6" w:rsidP="006701BB">
            <w:pPr>
              <w:rPr>
                <w:sz w:val="22"/>
                <w:szCs w:val="22"/>
              </w:rPr>
            </w:pPr>
          </w:p>
          <w:p w14:paraId="282F4BDF" w14:textId="77777777" w:rsidR="006701BB" w:rsidRDefault="006701BB" w:rsidP="006701BB">
            <w:pPr>
              <w:rPr>
                <w:sz w:val="22"/>
                <w:szCs w:val="22"/>
              </w:rPr>
            </w:pPr>
          </w:p>
          <w:p w14:paraId="05668D92" w14:textId="6CB281D9" w:rsidR="00EF56BA" w:rsidRPr="00AC2297" w:rsidRDefault="00EF56BA" w:rsidP="00670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F84C6F" w:rsidRPr="00AC2297" w14:paraId="5E8ACFCF" w14:textId="77777777" w:rsidTr="0073350E">
        <w:trPr>
          <w:trHeight w:val="1518"/>
        </w:trPr>
        <w:tc>
          <w:tcPr>
            <w:tcW w:w="1778" w:type="dxa"/>
          </w:tcPr>
          <w:p w14:paraId="3CC22F98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00A8B603" w14:textId="77777777" w:rsidR="003E6344" w:rsidRPr="00AC2297" w:rsidRDefault="003E6344" w:rsidP="003A2488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 xml:space="preserve">Finance </w:t>
            </w:r>
          </w:p>
        </w:tc>
        <w:tc>
          <w:tcPr>
            <w:tcW w:w="5956" w:type="dxa"/>
          </w:tcPr>
          <w:p w14:paraId="635B31C2" w14:textId="77777777" w:rsidR="00C67D12" w:rsidRDefault="00E66C6B" w:rsidP="00EC708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</w:t>
            </w:r>
            <w:r w:rsidR="00F8034E">
              <w:rPr>
                <w:sz w:val="22"/>
                <w:szCs w:val="22"/>
              </w:rPr>
              <w:t xml:space="preserve">financial </w:t>
            </w:r>
            <w:r>
              <w:rPr>
                <w:sz w:val="22"/>
                <w:szCs w:val="22"/>
              </w:rPr>
              <w:t>reports</w:t>
            </w:r>
            <w:r w:rsidR="003725B7">
              <w:rPr>
                <w:sz w:val="22"/>
                <w:szCs w:val="22"/>
              </w:rPr>
              <w:t xml:space="preserve"> – sent via email</w:t>
            </w:r>
          </w:p>
          <w:p w14:paraId="3C90C0CF" w14:textId="77777777" w:rsidR="00947FC8" w:rsidRDefault="00947FC8" w:rsidP="00947FC8">
            <w:pPr>
              <w:rPr>
                <w:sz w:val="20"/>
                <w:szCs w:val="20"/>
              </w:rPr>
            </w:pPr>
            <w:r>
              <w:t>          </w:t>
            </w:r>
            <w:r>
              <w:rPr>
                <w:b/>
                <w:bCs/>
                <w:sz w:val="20"/>
                <w:szCs w:val="20"/>
              </w:rPr>
              <w:t>Assets</w:t>
            </w:r>
            <w:r>
              <w:rPr>
                <w:sz w:val="20"/>
                <w:szCs w:val="20"/>
              </w:rPr>
              <w:t>                   $ 3.89 MM</w:t>
            </w:r>
          </w:p>
          <w:p w14:paraId="1841A8A2" w14:textId="77777777" w:rsidR="00947FC8" w:rsidRDefault="00947FC8" w:rsidP="00947FC8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            </w:t>
            </w:r>
            <w:r>
              <w:rPr>
                <w:b/>
                <w:bCs/>
                <w:sz w:val="20"/>
                <w:szCs w:val="20"/>
              </w:rPr>
              <w:t>Current</w:t>
            </w:r>
            <w:r>
              <w:rPr>
                <w:sz w:val="20"/>
                <w:szCs w:val="20"/>
              </w:rPr>
              <w:t xml:space="preserve">              $ 762.3 K              </w:t>
            </w:r>
          </w:p>
          <w:p w14:paraId="29EF03C1" w14:textId="77777777" w:rsidR="00947FC8" w:rsidRDefault="00947FC8" w:rsidP="00947FC8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   </w:t>
            </w:r>
            <w:r>
              <w:rPr>
                <w:b/>
                <w:bCs/>
                <w:sz w:val="20"/>
                <w:szCs w:val="20"/>
              </w:rPr>
              <w:t xml:space="preserve">CRRF  </w:t>
            </w:r>
            <w:r>
              <w:rPr>
                <w:sz w:val="20"/>
                <w:szCs w:val="20"/>
              </w:rPr>
              <w:t>                $ 418.7 K</w:t>
            </w:r>
          </w:p>
          <w:p w14:paraId="516FBFBB" w14:textId="77777777" w:rsidR="00947FC8" w:rsidRDefault="00947FC8" w:rsidP="00947FC8">
            <w:pPr>
              <w:spacing w:line="252" w:lineRule="auto"/>
              <w:ind w:firstLine="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Liabilities</w:t>
            </w:r>
            <w:r>
              <w:rPr>
                <w:sz w:val="20"/>
                <w:szCs w:val="20"/>
              </w:rPr>
              <w:t>                       $ 2.38 MM</w:t>
            </w:r>
          </w:p>
          <w:p w14:paraId="471B40C0" w14:textId="77777777" w:rsidR="00947FC8" w:rsidRDefault="00947FC8" w:rsidP="00947FC8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                 </w:t>
            </w:r>
            <w:r>
              <w:rPr>
                <w:b/>
                <w:bCs/>
                <w:sz w:val="20"/>
                <w:szCs w:val="20"/>
              </w:rPr>
              <w:t xml:space="preserve">Debt   </w:t>
            </w:r>
            <w:r>
              <w:rPr>
                <w:sz w:val="20"/>
                <w:szCs w:val="20"/>
              </w:rPr>
              <w:t>                        $ 2.16 MM</w:t>
            </w:r>
          </w:p>
          <w:p w14:paraId="7B8FDB17" w14:textId="77777777" w:rsidR="00947FC8" w:rsidRDefault="00947FC8" w:rsidP="00947FC8">
            <w:pPr>
              <w:ind w:firstLine="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Equity</w:t>
            </w:r>
            <w:r>
              <w:rPr>
                <w:sz w:val="20"/>
                <w:szCs w:val="20"/>
              </w:rPr>
              <w:t>             $ 1.51 MM</w:t>
            </w:r>
          </w:p>
          <w:p w14:paraId="58D4FD49" w14:textId="77777777" w:rsidR="00947FC8" w:rsidRDefault="00947FC8" w:rsidP="00947FC8">
            <w:pPr>
              <w:ind w:firstLine="720"/>
              <w:rPr>
                <w:sz w:val="20"/>
                <w:szCs w:val="20"/>
              </w:rPr>
            </w:pPr>
          </w:p>
          <w:p w14:paraId="7E05C424" w14:textId="77777777" w:rsidR="00947FC8" w:rsidRDefault="00947FC8" w:rsidP="00947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Budget information</w:t>
            </w:r>
          </w:p>
          <w:tbl>
            <w:tblPr>
              <w:tblW w:w="3093" w:type="dxa"/>
              <w:tblInd w:w="6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1084"/>
            </w:tblGrid>
            <w:tr w:rsidR="00947FC8" w14:paraId="4809898F" w14:textId="77777777" w:rsidTr="00947FC8">
              <w:trPr>
                <w:trHeight w:val="256"/>
              </w:trPr>
              <w:tc>
                <w:tcPr>
                  <w:tcW w:w="200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E428520" w14:textId="77777777" w:rsidR="00947FC8" w:rsidRDefault="00947FC8" w:rsidP="00947FC8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Loans Cash Budget</w:t>
                  </w:r>
                </w:p>
              </w:tc>
              <w:tc>
                <w:tcPr>
                  <w:tcW w:w="10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8F9F3C5" w14:textId="77777777" w:rsidR="00947FC8" w:rsidRDefault="00947FC8" w:rsidP="00947FC8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947FC8" w14:paraId="5A521D91" w14:textId="77777777" w:rsidTr="00947FC8">
              <w:trPr>
                <w:trHeight w:val="256"/>
              </w:trPr>
              <w:tc>
                <w:tcPr>
                  <w:tcW w:w="200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0EF073F" w14:textId="77777777" w:rsidR="00947FC8" w:rsidRDefault="00947FC8" w:rsidP="00947FC8">
                  <w:pPr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CRRF Revenue</w:t>
                  </w:r>
                </w:p>
              </w:tc>
              <w:tc>
                <w:tcPr>
                  <w:tcW w:w="10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CF5BCA0" w14:textId="77777777" w:rsidR="00947FC8" w:rsidRDefault="00947FC8" w:rsidP="00947FC8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  172,200 </w:t>
                  </w:r>
                </w:p>
              </w:tc>
            </w:tr>
            <w:tr w:rsidR="00947FC8" w14:paraId="45CBCCF0" w14:textId="77777777" w:rsidTr="00947FC8">
              <w:trPr>
                <w:trHeight w:val="256"/>
              </w:trPr>
              <w:tc>
                <w:tcPr>
                  <w:tcW w:w="200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B451C8B" w14:textId="77777777" w:rsidR="00947FC8" w:rsidRDefault="00947FC8" w:rsidP="00947FC8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0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564C44E" w14:textId="77777777" w:rsidR="00947FC8" w:rsidRDefault="00947FC8" w:rsidP="00947FC8">
                  <w:pPr>
                    <w:rPr>
                      <w:rFonts w:eastAsia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947FC8" w14:paraId="448BD26D" w14:textId="77777777" w:rsidTr="00947FC8">
              <w:trPr>
                <w:trHeight w:val="256"/>
              </w:trPr>
              <w:tc>
                <w:tcPr>
                  <w:tcW w:w="200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681DC8B" w14:textId="77777777" w:rsidR="00947FC8" w:rsidRDefault="00947FC8" w:rsidP="00947FC8">
                  <w:pP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Phase 1 Payment</w:t>
                  </w:r>
                </w:p>
              </w:tc>
              <w:tc>
                <w:tcPr>
                  <w:tcW w:w="10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F693AB" w14:textId="77777777" w:rsidR="00947FC8" w:rsidRDefault="00947FC8" w:rsidP="00947FC8">
                  <w:pPr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 xml:space="preserve">-     4,965 </w:t>
                  </w:r>
                </w:p>
              </w:tc>
            </w:tr>
            <w:tr w:rsidR="00947FC8" w14:paraId="67960911" w14:textId="77777777" w:rsidTr="00947FC8">
              <w:trPr>
                <w:trHeight w:val="246"/>
              </w:trPr>
              <w:tc>
                <w:tcPr>
                  <w:tcW w:w="200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3146821" w14:textId="77777777" w:rsidR="00947FC8" w:rsidRDefault="00947FC8" w:rsidP="00947FC8">
                  <w:pPr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Phase 2 Payment</w:t>
                  </w:r>
                </w:p>
              </w:tc>
              <w:tc>
                <w:tcPr>
                  <w:tcW w:w="10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EB8D3D" w14:textId="77777777" w:rsidR="00947FC8" w:rsidRDefault="00947FC8" w:rsidP="00947FC8">
                  <w:pPr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 xml:space="preserve">-     3,575 </w:t>
                  </w:r>
                </w:p>
              </w:tc>
            </w:tr>
            <w:tr w:rsidR="00947FC8" w14:paraId="28100E86" w14:textId="77777777" w:rsidTr="00947FC8">
              <w:trPr>
                <w:trHeight w:val="246"/>
              </w:trPr>
              <w:tc>
                <w:tcPr>
                  <w:tcW w:w="20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1E6BBF4" w14:textId="77777777" w:rsidR="00947FC8" w:rsidRDefault="00947FC8" w:rsidP="00947FC8">
                  <w:pPr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Phase 3 Payment</w:t>
                  </w:r>
                </w:p>
              </w:tc>
              <w:tc>
                <w:tcPr>
                  <w:tcW w:w="10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BC5385D" w14:textId="77777777" w:rsidR="00947FC8" w:rsidRDefault="00947FC8" w:rsidP="00947FC8">
                  <w:pPr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 xml:space="preserve">-     5,595 </w:t>
                  </w:r>
                </w:p>
              </w:tc>
            </w:tr>
            <w:tr w:rsidR="00947FC8" w14:paraId="57478B33" w14:textId="77777777" w:rsidTr="00947FC8">
              <w:trPr>
                <w:trHeight w:val="246"/>
              </w:trPr>
              <w:tc>
                <w:tcPr>
                  <w:tcW w:w="200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B09E0C6" w14:textId="77777777" w:rsidR="00947FC8" w:rsidRDefault="00947FC8" w:rsidP="00947FC8">
                  <w:pPr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Monthly Cash</w:t>
                  </w:r>
                </w:p>
              </w:tc>
              <w:tc>
                <w:tcPr>
                  <w:tcW w:w="108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500B5B5" w14:textId="77777777" w:rsidR="00947FC8" w:rsidRDefault="00947FC8" w:rsidP="00947FC8">
                  <w:pPr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 xml:space="preserve">-   14,135 </w:t>
                  </w:r>
                </w:p>
              </w:tc>
            </w:tr>
            <w:tr w:rsidR="00947FC8" w14:paraId="19950863" w14:textId="77777777" w:rsidTr="00947FC8">
              <w:trPr>
                <w:trHeight w:val="256"/>
              </w:trPr>
              <w:tc>
                <w:tcPr>
                  <w:tcW w:w="200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EB40CB0" w14:textId="77777777" w:rsidR="00947FC8" w:rsidRDefault="00947FC8" w:rsidP="00947FC8">
                  <w:pPr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0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C57A657" w14:textId="77777777" w:rsidR="00947FC8" w:rsidRDefault="00947FC8" w:rsidP="00947FC8">
                  <w:pPr>
                    <w:rPr>
                      <w:rFonts w:eastAsia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947FC8" w14:paraId="6E5293B5" w14:textId="77777777" w:rsidTr="00947FC8">
              <w:trPr>
                <w:trHeight w:val="256"/>
              </w:trPr>
              <w:tc>
                <w:tcPr>
                  <w:tcW w:w="200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6F7AF6" w14:textId="77777777" w:rsidR="00947FC8" w:rsidRDefault="00947FC8" w:rsidP="00947FC8">
                  <w:pPr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Annual Cash</w:t>
                  </w:r>
                </w:p>
              </w:tc>
              <w:tc>
                <w:tcPr>
                  <w:tcW w:w="10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D96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0CCDD4D" w14:textId="77777777" w:rsidR="00947FC8" w:rsidRDefault="00947FC8" w:rsidP="00947FC8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- 169,620 </w:t>
                  </w:r>
                </w:p>
              </w:tc>
            </w:tr>
            <w:tr w:rsidR="00947FC8" w14:paraId="736307AE" w14:textId="77777777" w:rsidTr="00947FC8">
              <w:trPr>
                <w:trHeight w:val="256"/>
              </w:trPr>
              <w:tc>
                <w:tcPr>
                  <w:tcW w:w="200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0F9848E" w14:textId="77777777" w:rsidR="00947FC8" w:rsidRDefault="00947FC8" w:rsidP="00947FC8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0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F5F3AE4" w14:textId="77777777" w:rsidR="00947FC8" w:rsidRDefault="00947FC8" w:rsidP="00947FC8">
                  <w:pPr>
                    <w:rPr>
                      <w:rFonts w:eastAsia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947FC8" w14:paraId="202A5C21" w14:textId="77777777" w:rsidTr="00947FC8">
              <w:trPr>
                <w:trHeight w:val="256"/>
              </w:trPr>
              <w:tc>
                <w:tcPr>
                  <w:tcW w:w="200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92A89A9" w14:textId="77777777" w:rsidR="00947FC8" w:rsidRDefault="00947FC8" w:rsidP="00947FC8">
                  <w:pPr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Cash Buffer</w:t>
                  </w:r>
                </w:p>
              </w:tc>
              <w:tc>
                <w:tcPr>
                  <w:tcW w:w="10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FEFDE27" w14:textId="77777777" w:rsidR="00947FC8" w:rsidRDefault="00947FC8" w:rsidP="00947FC8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       2,580 </w:t>
                  </w:r>
                </w:p>
              </w:tc>
            </w:tr>
          </w:tbl>
          <w:p w14:paraId="141D2F4A" w14:textId="77777777" w:rsidR="00947FC8" w:rsidRDefault="00947FC8" w:rsidP="00947FC8">
            <w:pPr>
              <w:ind w:firstLine="720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14:paraId="3EABE06E" w14:textId="77777777" w:rsidR="00947FC8" w:rsidRDefault="00947FC8" w:rsidP="00947FC8">
            <w:pPr>
              <w:ind w:firstLine="720"/>
            </w:pPr>
            <w:r>
              <w:rPr>
                <w:b/>
                <w:bCs/>
              </w:rPr>
              <w:t>Monthly</w:t>
            </w:r>
            <w:r>
              <w:t>                                  215</w:t>
            </w:r>
          </w:p>
          <w:p w14:paraId="62CDBECA" w14:textId="77777777" w:rsidR="00947FC8" w:rsidRDefault="00947FC8" w:rsidP="00947FC8">
            <w:pPr>
              <w:ind w:firstLine="720"/>
            </w:pPr>
          </w:p>
          <w:p w14:paraId="0A1D3BA1" w14:textId="77777777" w:rsidR="00947FC8" w:rsidRDefault="00947FC8" w:rsidP="00947FC8">
            <w:pPr>
              <w:ind w:firstLine="720"/>
            </w:pPr>
          </w:p>
          <w:p w14:paraId="1E8546B6" w14:textId="77777777" w:rsidR="00947FC8" w:rsidRDefault="00947FC8" w:rsidP="00947FC8">
            <w:r>
              <w:t>Maturity Balance Forecast – Phase 1 Loan</w:t>
            </w:r>
          </w:p>
          <w:p w14:paraId="79F688EF" w14:textId="77777777" w:rsidR="00947FC8" w:rsidRDefault="00947FC8" w:rsidP="00947FC8">
            <w:pPr>
              <w:ind w:firstLine="720"/>
            </w:pPr>
          </w:p>
          <w:tbl>
            <w:tblPr>
              <w:tblW w:w="0" w:type="auto"/>
              <w:tblInd w:w="3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697"/>
              <w:gridCol w:w="662"/>
              <w:gridCol w:w="482"/>
              <w:gridCol w:w="694"/>
              <w:gridCol w:w="642"/>
              <w:gridCol w:w="602"/>
              <w:gridCol w:w="585"/>
              <w:gridCol w:w="705"/>
            </w:tblGrid>
            <w:tr w:rsidR="00947FC8" w14:paraId="0B452032" w14:textId="77777777" w:rsidTr="00B16003">
              <w:trPr>
                <w:trHeight w:val="300"/>
              </w:trPr>
              <w:tc>
                <w:tcPr>
                  <w:tcW w:w="78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1F02A58" w14:textId="77777777" w:rsidR="00947FC8" w:rsidRDefault="00947FC8" w:rsidP="00947FC8"/>
              </w:tc>
              <w:tc>
                <w:tcPr>
                  <w:tcW w:w="6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5952CA2" w14:textId="77777777" w:rsidR="00947FC8" w:rsidRDefault="00947FC8" w:rsidP="00947FC8">
                  <w:pPr>
                    <w:rPr>
                      <w:rFonts w:eastAsia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66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6DE4BAC" w14:textId="77777777" w:rsidR="00947FC8" w:rsidRDefault="00947FC8" w:rsidP="00947FC8">
                  <w:pPr>
                    <w:rPr>
                      <w:rFonts w:eastAsia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48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909E9F7" w14:textId="77777777" w:rsidR="00947FC8" w:rsidRDefault="00947FC8" w:rsidP="00947FC8">
                  <w:pPr>
                    <w:rPr>
                      <w:rFonts w:eastAsia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69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C61728A" w14:textId="77777777" w:rsidR="00947FC8" w:rsidRDefault="00947FC8" w:rsidP="00947FC8">
                  <w:pPr>
                    <w:jc w:val="center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Annual </w:t>
                  </w:r>
                </w:p>
              </w:tc>
              <w:tc>
                <w:tcPr>
                  <w:tcW w:w="64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173C863" w14:textId="77777777" w:rsidR="00947FC8" w:rsidRDefault="00947FC8" w:rsidP="00947FC8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60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DB56E8" w14:textId="77777777" w:rsidR="00947FC8" w:rsidRDefault="00947FC8" w:rsidP="00947FC8">
                  <w:pPr>
                    <w:rPr>
                      <w:rFonts w:eastAsia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5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6A1CD0F" w14:textId="77777777" w:rsidR="00947FC8" w:rsidRDefault="00947FC8" w:rsidP="00947FC8">
                  <w:pPr>
                    <w:rPr>
                      <w:rFonts w:eastAsia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8449CEE" w14:textId="77777777" w:rsidR="00947FC8" w:rsidRDefault="00947FC8" w:rsidP="00947FC8">
                  <w:pPr>
                    <w:rPr>
                      <w:rFonts w:eastAsia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947FC8" w14:paraId="45D6E212" w14:textId="77777777" w:rsidTr="00B16003">
              <w:trPr>
                <w:trHeight w:val="300"/>
              </w:trPr>
              <w:tc>
                <w:tcPr>
                  <w:tcW w:w="78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5F0C772" w14:textId="77777777" w:rsidR="00947FC8" w:rsidRDefault="00947FC8" w:rsidP="00947FC8">
                  <w:pPr>
                    <w:jc w:val="center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 Balances </w:t>
                  </w:r>
                </w:p>
              </w:tc>
              <w:tc>
                <w:tcPr>
                  <w:tcW w:w="6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2063D7" w14:textId="77777777" w:rsidR="00947FC8" w:rsidRDefault="00947FC8" w:rsidP="00947FC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 Maturity </w:t>
                  </w:r>
                </w:p>
              </w:tc>
              <w:tc>
                <w:tcPr>
                  <w:tcW w:w="66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2A2F9A9" w14:textId="77777777" w:rsidR="00947FC8" w:rsidRDefault="00947FC8" w:rsidP="00947FC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Years to</w:t>
                  </w:r>
                </w:p>
              </w:tc>
              <w:tc>
                <w:tcPr>
                  <w:tcW w:w="48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15097F9" w14:textId="77777777" w:rsidR="00947FC8" w:rsidRDefault="00947FC8" w:rsidP="00947FC8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69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BE2DB31" w14:textId="77777777" w:rsidR="00947FC8" w:rsidRDefault="00947FC8" w:rsidP="00947FC8">
                  <w:pPr>
                    <w:jc w:val="center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Principal  </w:t>
                  </w:r>
                </w:p>
              </w:tc>
              <w:tc>
                <w:tcPr>
                  <w:tcW w:w="64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8FF8EF7" w14:textId="77777777" w:rsidR="00947FC8" w:rsidRDefault="00947FC8" w:rsidP="00947FC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 Maturity </w:t>
                  </w:r>
                </w:p>
              </w:tc>
              <w:tc>
                <w:tcPr>
                  <w:tcW w:w="60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1C667F" w14:textId="77777777" w:rsidR="00947FC8" w:rsidRDefault="00947FC8" w:rsidP="00947FC8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5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94E048" w14:textId="77777777" w:rsidR="00947FC8" w:rsidRDefault="00947FC8" w:rsidP="00947FC8">
                  <w:pPr>
                    <w:rPr>
                      <w:rFonts w:eastAsia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D6CE696" w14:textId="77777777" w:rsidR="00947FC8" w:rsidRDefault="00947FC8" w:rsidP="00947FC8">
                  <w:pPr>
                    <w:rPr>
                      <w:rFonts w:eastAsia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947FC8" w14:paraId="61808682" w14:textId="77777777" w:rsidTr="00B16003">
              <w:trPr>
                <w:trHeight w:val="300"/>
              </w:trPr>
              <w:tc>
                <w:tcPr>
                  <w:tcW w:w="78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AB9900" w14:textId="77777777" w:rsidR="00947FC8" w:rsidRDefault="00947FC8" w:rsidP="00947FC8">
                  <w:pPr>
                    <w:jc w:val="center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Mar-22</w:t>
                  </w:r>
                </w:p>
              </w:tc>
              <w:tc>
                <w:tcPr>
                  <w:tcW w:w="6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5199008" w14:textId="77777777" w:rsidR="00947FC8" w:rsidRDefault="00947FC8" w:rsidP="00947FC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Date</w:t>
                  </w:r>
                </w:p>
              </w:tc>
              <w:tc>
                <w:tcPr>
                  <w:tcW w:w="66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0B7667C" w14:textId="77777777" w:rsidR="00947FC8" w:rsidRDefault="00947FC8" w:rsidP="00947FC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Maturity</w:t>
                  </w:r>
                </w:p>
              </w:tc>
              <w:tc>
                <w:tcPr>
                  <w:tcW w:w="48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6E38C40" w14:textId="77777777" w:rsidR="00947FC8" w:rsidRDefault="00947FC8" w:rsidP="00947FC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Rate </w:t>
                  </w:r>
                </w:p>
              </w:tc>
              <w:tc>
                <w:tcPr>
                  <w:tcW w:w="69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28827A1" w14:textId="77777777" w:rsidR="00947FC8" w:rsidRDefault="00947FC8" w:rsidP="00947FC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 Reduction </w:t>
                  </w:r>
                </w:p>
              </w:tc>
              <w:tc>
                <w:tcPr>
                  <w:tcW w:w="64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64FDB1" w14:textId="77777777" w:rsidR="00947FC8" w:rsidRDefault="00947FC8" w:rsidP="00947FC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Balance</w:t>
                  </w:r>
                </w:p>
              </w:tc>
              <w:tc>
                <w:tcPr>
                  <w:tcW w:w="60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9653D9B" w14:textId="77777777" w:rsidR="00947FC8" w:rsidRDefault="00947FC8" w:rsidP="00947FC8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10% pp </w:t>
                  </w:r>
                </w:p>
              </w:tc>
              <w:tc>
                <w:tcPr>
                  <w:tcW w:w="5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BF926AC" w14:textId="77777777" w:rsidR="00947FC8" w:rsidRDefault="00947FC8" w:rsidP="00947FC8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04D5346" w14:textId="77777777" w:rsidR="00947FC8" w:rsidRDefault="00947FC8" w:rsidP="00947FC8">
                  <w:pPr>
                    <w:jc w:val="center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lang w:eastAsia="en-CA"/>
                    </w:rPr>
                    <w:t xml:space="preserve"> Goal </w:t>
                  </w:r>
                </w:p>
              </w:tc>
            </w:tr>
            <w:tr w:rsidR="00B16003" w14:paraId="1A1C5F08" w14:textId="77777777" w:rsidTr="00B16003">
              <w:trPr>
                <w:trHeight w:val="300"/>
              </w:trPr>
              <w:tc>
                <w:tcPr>
                  <w:tcW w:w="781" w:type="dxa"/>
                  <w:shd w:val="clear" w:color="auto" w:fill="FFE6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AB52097" w14:textId="77777777" w:rsidR="00947FC8" w:rsidRDefault="00947FC8" w:rsidP="00947FC8">
                  <w:pPr>
                    <w:rPr>
                      <w:i/>
                      <w:i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  <w:lang w:eastAsia="en-CA"/>
                    </w:rPr>
                    <w:t xml:space="preserve">        618,118 </w:t>
                  </w:r>
                </w:p>
              </w:tc>
              <w:tc>
                <w:tcPr>
                  <w:tcW w:w="697" w:type="dxa"/>
                  <w:shd w:val="clear" w:color="auto" w:fill="FFE6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B001E5" w14:textId="77777777" w:rsidR="00947FC8" w:rsidRDefault="00947FC8" w:rsidP="00947FC8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  <w:lang w:eastAsia="en-CA"/>
                    </w:rPr>
                    <w:t>2024-07-31</w:t>
                  </w:r>
                </w:p>
              </w:tc>
              <w:tc>
                <w:tcPr>
                  <w:tcW w:w="662" w:type="dxa"/>
                  <w:shd w:val="clear" w:color="auto" w:fill="FFE6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8457B25" w14:textId="77777777" w:rsidR="00947FC8" w:rsidRDefault="00947FC8" w:rsidP="00947FC8">
                  <w:pPr>
                    <w:jc w:val="center"/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2.34 Years</w:t>
                  </w:r>
                </w:p>
              </w:tc>
              <w:tc>
                <w:tcPr>
                  <w:tcW w:w="482" w:type="dxa"/>
                  <w:shd w:val="clear" w:color="auto" w:fill="FFE6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9202D3" w14:textId="77777777" w:rsidR="00947FC8" w:rsidRDefault="00947FC8" w:rsidP="00947FC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  <w:lang w:eastAsia="en-CA"/>
                    </w:rPr>
                    <w:t>3.38%</w:t>
                  </w:r>
                </w:p>
              </w:tc>
              <w:tc>
                <w:tcPr>
                  <w:tcW w:w="694" w:type="dxa"/>
                  <w:shd w:val="clear" w:color="auto" w:fill="FFE6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831DF5" w14:textId="77777777" w:rsidR="00947FC8" w:rsidRDefault="00947FC8" w:rsidP="00947FC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  <w:lang w:eastAsia="en-CA"/>
                    </w:rPr>
                    <w:t>37,200</w:t>
                  </w:r>
                </w:p>
              </w:tc>
              <w:tc>
                <w:tcPr>
                  <w:tcW w:w="642" w:type="dxa"/>
                  <w:shd w:val="clear" w:color="auto" w:fill="FFE6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92140E1" w14:textId="77777777" w:rsidR="00947FC8" w:rsidRDefault="00947FC8" w:rsidP="00947FC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  <w:lang w:eastAsia="en-CA"/>
                    </w:rPr>
                    <w:t>531,070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C2E1C2" w14:textId="77777777" w:rsidR="00947FC8" w:rsidRDefault="00947FC8" w:rsidP="00947FC8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  421,130 </w:t>
                  </w:r>
                </w:p>
              </w:tc>
              <w:tc>
                <w:tcPr>
                  <w:tcW w:w="5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5BD081" w14:textId="77777777" w:rsidR="00947FC8" w:rsidRDefault="00947FC8" w:rsidP="00947FC8">
                  <w:pPr>
                    <w:jc w:val="right"/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-121,130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35AB69D" w14:textId="77777777" w:rsidR="00947FC8" w:rsidRDefault="00947FC8" w:rsidP="00947FC8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      300,000 </w:t>
                  </w:r>
                </w:p>
              </w:tc>
            </w:tr>
            <w:tr w:rsidR="00947FC8" w14:paraId="6DCC7ADC" w14:textId="77777777" w:rsidTr="00B16003">
              <w:trPr>
                <w:trHeight w:val="288"/>
              </w:trPr>
              <w:tc>
                <w:tcPr>
                  <w:tcW w:w="78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768003" w14:textId="77777777" w:rsidR="00947FC8" w:rsidRDefault="00947FC8" w:rsidP="00947FC8">
                  <w:pPr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 xml:space="preserve">         467,939 </w:t>
                  </w:r>
                </w:p>
              </w:tc>
              <w:tc>
                <w:tcPr>
                  <w:tcW w:w="6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19BF37" w14:textId="77777777" w:rsidR="00947FC8" w:rsidRDefault="00947FC8" w:rsidP="00947FC8">
                  <w:pPr>
                    <w:jc w:val="right"/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2028-03-12</w:t>
                  </w:r>
                </w:p>
              </w:tc>
              <w:tc>
                <w:tcPr>
                  <w:tcW w:w="66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4C98FCD" w14:textId="77777777" w:rsidR="00947FC8" w:rsidRDefault="00947FC8" w:rsidP="00947FC8">
                  <w:pPr>
                    <w:jc w:val="center"/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5.95 Years</w:t>
                  </w:r>
                </w:p>
              </w:tc>
              <w:tc>
                <w:tcPr>
                  <w:tcW w:w="48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39E77C0" w14:textId="77777777" w:rsidR="00947FC8" w:rsidRDefault="00947FC8" w:rsidP="00947FC8">
                  <w:pPr>
                    <w:jc w:val="center"/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4.40%</w:t>
                  </w:r>
                </w:p>
              </w:tc>
              <w:tc>
                <w:tcPr>
                  <w:tcW w:w="69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164D724" w14:textId="77777777" w:rsidR="00947FC8" w:rsidRDefault="00947FC8" w:rsidP="00947FC8">
                  <w:pPr>
                    <w:jc w:val="center"/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20,400</w:t>
                  </w:r>
                </w:p>
              </w:tc>
              <w:tc>
                <w:tcPr>
                  <w:tcW w:w="64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49E6A79" w14:textId="77777777" w:rsidR="00947FC8" w:rsidRDefault="00947FC8" w:rsidP="00947FC8">
                  <w:pPr>
                    <w:jc w:val="center"/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346,559</w:t>
                  </w:r>
                </w:p>
              </w:tc>
              <w:tc>
                <w:tcPr>
                  <w:tcW w:w="60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C67A175" w14:textId="77777777" w:rsidR="00947FC8" w:rsidRDefault="00947FC8" w:rsidP="00947FC8">
                  <w:pPr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5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AA0F4C" w14:textId="77777777" w:rsidR="00947FC8" w:rsidRDefault="00947FC8" w:rsidP="00947FC8">
                  <w:pPr>
                    <w:rPr>
                      <w:rFonts w:eastAsia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19B1F2" w14:textId="77777777" w:rsidR="00947FC8" w:rsidRDefault="00947FC8" w:rsidP="00947FC8">
                  <w:pPr>
                    <w:rPr>
                      <w:rFonts w:eastAsia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947FC8" w14:paraId="154B3006" w14:textId="77777777" w:rsidTr="00B16003">
              <w:trPr>
                <w:trHeight w:val="288"/>
              </w:trPr>
              <w:tc>
                <w:tcPr>
                  <w:tcW w:w="78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89243FB" w14:textId="77777777" w:rsidR="00947FC8" w:rsidRDefault="00947FC8" w:rsidP="00947FC8">
                  <w:pP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 xml:space="preserve">      1,076,627 </w:t>
                  </w:r>
                </w:p>
              </w:tc>
              <w:tc>
                <w:tcPr>
                  <w:tcW w:w="6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E46C9F9" w14:textId="77777777" w:rsidR="00947FC8" w:rsidRDefault="00947FC8" w:rsidP="00947FC8">
                  <w:pPr>
                    <w:jc w:val="right"/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2031-06-30</w:t>
                  </w:r>
                </w:p>
              </w:tc>
              <w:tc>
                <w:tcPr>
                  <w:tcW w:w="66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CBF54D5" w14:textId="77777777" w:rsidR="00947FC8" w:rsidRDefault="00947FC8" w:rsidP="00947FC8">
                  <w:pPr>
                    <w:jc w:val="center"/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9.25 Years</w:t>
                  </w:r>
                </w:p>
              </w:tc>
              <w:tc>
                <w:tcPr>
                  <w:tcW w:w="48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326677D" w14:textId="77777777" w:rsidR="00947FC8" w:rsidRDefault="00947FC8" w:rsidP="00947FC8">
                  <w:pPr>
                    <w:jc w:val="center"/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3.61%</w:t>
                  </w:r>
                </w:p>
              </w:tc>
              <w:tc>
                <w:tcPr>
                  <w:tcW w:w="69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35D06D9" w14:textId="77777777" w:rsidR="00947FC8" w:rsidRDefault="00947FC8" w:rsidP="00947FC8">
                  <w:pPr>
                    <w:jc w:val="center"/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24,000</w:t>
                  </w:r>
                </w:p>
              </w:tc>
              <w:tc>
                <w:tcPr>
                  <w:tcW w:w="64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DC5D8B" w14:textId="77777777" w:rsidR="00947FC8" w:rsidRDefault="00947FC8" w:rsidP="00947FC8">
                  <w:pPr>
                    <w:jc w:val="center"/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CA"/>
                    </w:rPr>
                    <w:t>854,627</w:t>
                  </w:r>
                </w:p>
              </w:tc>
              <w:tc>
                <w:tcPr>
                  <w:tcW w:w="60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AFD6580" w14:textId="77777777" w:rsidR="00947FC8" w:rsidRDefault="00947FC8" w:rsidP="00947FC8">
                  <w:pPr>
                    <w:rPr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5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2BCEB1" w14:textId="77777777" w:rsidR="00947FC8" w:rsidRDefault="00947FC8" w:rsidP="00947FC8">
                  <w:pPr>
                    <w:rPr>
                      <w:rFonts w:eastAsia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9A54B6C" w14:textId="77777777" w:rsidR="00947FC8" w:rsidRDefault="00947FC8" w:rsidP="00947FC8">
                  <w:pPr>
                    <w:rPr>
                      <w:rFonts w:eastAsia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14:paraId="007E1C18" w14:textId="77777777" w:rsidR="00947FC8" w:rsidRPr="00947FC8" w:rsidRDefault="00947FC8" w:rsidP="00947FC8">
            <w:pPr>
              <w:rPr>
                <w:sz w:val="22"/>
                <w:szCs w:val="22"/>
              </w:rPr>
            </w:pPr>
          </w:p>
          <w:p w14:paraId="010863E5" w14:textId="77777777" w:rsidR="009D7589" w:rsidRPr="00FB3113" w:rsidRDefault="009D7589" w:rsidP="00FB3113">
            <w:pPr>
              <w:rPr>
                <w:sz w:val="22"/>
                <w:szCs w:val="22"/>
              </w:rPr>
            </w:pPr>
          </w:p>
          <w:p w14:paraId="39ECEAE3" w14:textId="5B4314DC" w:rsidR="00901518" w:rsidRDefault="00901518" w:rsidP="005D638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Outstanding accounts report- 12 accounts to be billed the 15% late fee. Most account holders have approached for a payment plan to clear accounts before Oct 2022.</w:t>
            </w:r>
          </w:p>
          <w:p w14:paraId="37841B28" w14:textId="398CA369" w:rsidR="00DB43F9" w:rsidRDefault="00DB43F9" w:rsidP="00DB43F9">
            <w:pPr>
              <w:rPr>
                <w:sz w:val="22"/>
                <w:szCs w:val="22"/>
              </w:rPr>
            </w:pPr>
          </w:p>
          <w:p w14:paraId="6365C5F0" w14:textId="694CA1F8" w:rsidR="00DB43F9" w:rsidRPr="00DB43F9" w:rsidRDefault="00DB43F9" w:rsidP="00DB43F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B43F9">
              <w:rPr>
                <w:sz w:val="22"/>
                <w:szCs w:val="22"/>
              </w:rPr>
              <w:t xml:space="preserve">To date, </w:t>
            </w:r>
            <w:proofErr w:type="gramStart"/>
            <w:r w:rsidRPr="00DB43F9">
              <w:rPr>
                <w:sz w:val="22"/>
                <w:szCs w:val="22"/>
              </w:rPr>
              <w:t>tax</w:t>
            </w:r>
            <w:proofErr w:type="gramEnd"/>
            <w:r w:rsidRPr="00DB43F9">
              <w:rPr>
                <w:sz w:val="22"/>
                <w:szCs w:val="22"/>
              </w:rPr>
              <w:t xml:space="preserve"> and toll method</w:t>
            </w:r>
            <w:r>
              <w:rPr>
                <w:sz w:val="22"/>
                <w:szCs w:val="22"/>
              </w:rPr>
              <w:t>s</w:t>
            </w:r>
            <w:r w:rsidRPr="00DB43F9">
              <w:rPr>
                <w:sz w:val="22"/>
                <w:szCs w:val="22"/>
              </w:rPr>
              <w:t xml:space="preserve"> of payment: 157 e</w:t>
            </w:r>
            <w:r>
              <w:rPr>
                <w:sz w:val="22"/>
                <w:szCs w:val="22"/>
              </w:rPr>
              <w:t>-</w:t>
            </w:r>
            <w:r w:rsidRPr="00DB43F9">
              <w:rPr>
                <w:sz w:val="22"/>
                <w:szCs w:val="22"/>
              </w:rPr>
              <w:t>transfers and 126 cheques.</w:t>
            </w:r>
          </w:p>
          <w:p w14:paraId="42B11E66" w14:textId="74DA464C" w:rsidR="007578DD" w:rsidRDefault="007578DD" w:rsidP="007578DD">
            <w:pPr>
              <w:rPr>
                <w:sz w:val="22"/>
                <w:szCs w:val="22"/>
              </w:rPr>
            </w:pPr>
          </w:p>
          <w:p w14:paraId="2D39B362" w14:textId="2C23E1C0" w:rsidR="007578DD" w:rsidRDefault="007578DD" w:rsidP="007578D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Water Department </w:t>
            </w:r>
            <w:r w:rsidR="00123529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lushing station project is on hold due to financial constraints.</w:t>
            </w:r>
          </w:p>
          <w:p w14:paraId="50FBC943" w14:textId="77777777" w:rsidR="00901518" w:rsidRPr="007578DD" w:rsidRDefault="00901518" w:rsidP="007578DD">
            <w:pPr>
              <w:rPr>
                <w:sz w:val="22"/>
                <w:szCs w:val="22"/>
              </w:rPr>
            </w:pPr>
          </w:p>
          <w:p w14:paraId="6664E2CF" w14:textId="77777777" w:rsidR="009D7589" w:rsidRPr="005D6383" w:rsidRDefault="009D7589" w:rsidP="005D638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SPID Credit Card </w:t>
            </w:r>
            <w:r w:rsidR="00947FC8">
              <w:rPr>
                <w:sz w:val="22"/>
                <w:szCs w:val="22"/>
              </w:rPr>
              <w:t>–</w:t>
            </w:r>
            <w:r w:rsidR="00FB3113">
              <w:rPr>
                <w:sz w:val="22"/>
                <w:szCs w:val="22"/>
              </w:rPr>
              <w:t xml:space="preserve"> </w:t>
            </w:r>
            <w:r w:rsidR="00947FC8">
              <w:rPr>
                <w:sz w:val="22"/>
                <w:szCs w:val="22"/>
              </w:rPr>
              <w:t>in progress</w:t>
            </w:r>
          </w:p>
          <w:p w14:paraId="475E0660" w14:textId="77777777" w:rsidR="00FF1425" w:rsidRDefault="00FF1425" w:rsidP="00FF1425">
            <w:pPr>
              <w:rPr>
                <w:sz w:val="22"/>
                <w:szCs w:val="22"/>
              </w:rPr>
            </w:pPr>
          </w:p>
          <w:p w14:paraId="7D276F48" w14:textId="77777777" w:rsidR="00D8033E" w:rsidRPr="00D8033E" w:rsidRDefault="00D8033E" w:rsidP="005A533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6CE51843" w14:textId="77777777" w:rsidR="003E6344" w:rsidRDefault="003E6344" w:rsidP="00CE5DC3">
            <w:pPr>
              <w:rPr>
                <w:sz w:val="22"/>
                <w:szCs w:val="22"/>
              </w:rPr>
            </w:pPr>
          </w:p>
          <w:p w14:paraId="2BE0ACF7" w14:textId="77777777" w:rsidR="00743C53" w:rsidRDefault="0040353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Wahl</w:t>
            </w:r>
          </w:p>
          <w:p w14:paraId="6558457D" w14:textId="77777777" w:rsidR="00CA5903" w:rsidRDefault="00CA5903" w:rsidP="00CE5DC3">
            <w:pPr>
              <w:rPr>
                <w:sz w:val="22"/>
                <w:szCs w:val="22"/>
              </w:rPr>
            </w:pPr>
          </w:p>
          <w:p w14:paraId="1D01A1B6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028102D9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668BDBFF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404F5A85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0C1DB135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029286DD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756C1AE3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5D94A7E7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5B95414F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3597569B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4B64E2BE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66D6872B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2D347B4B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033C0559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65328F99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40EB6765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3B0821C2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28041DAA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3D50EA6C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3A8691B9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78EB8E32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43ADB27D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541944AE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2A48C2F3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7041C66B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2F3D773D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7596B548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1D6AF1B1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26CD3194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2B448619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6CD0E7F4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5747CB72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6326AB5D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688A9135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1D6D0AC8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64AE0B42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1333E4BD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0EBB84B8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705A32A2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17C2E72B" w14:textId="77777777" w:rsidR="00EF56BA" w:rsidRDefault="00EF56BA" w:rsidP="00CE5DC3">
            <w:pPr>
              <w:rPr>
                <w:sz w:val="22"/>
                <w:szCs w:val="22"/>
              </w:rPr>
            </w:pPr>
          </w:p>
          <w:p w14:paraId="066EAA60" w14:textId="2B2B22C1" w:rsidR="00CA5903" w:rsidRPr="00AC2297" w:rsidRDefault="00FE381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LeBlanc</w:t>
            </w:r>
          </w:p>
        </w:tc>
      </w:tr>
      <w:tr w:rsidR="00F84C6F" w:rsidRPr="00AC2297" w14:paraId="1E1CB18F" w14:textId="77777777" w:rsidTr="0073350E">
        <w:trPr>
          <w:trHeight w:val="1518"/>
        </w:trPr>
        <w:tc>
          <w:tcPr>
            <w:tcW w:w="1778" w:type="dxa"/>
          </w:tcPr>
          <w:p w14:paraId="0E53151D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245DB601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</w:t>
            </w:r>
          </w:p>
        </w:tc>
        <w:tc>
          <w:tcPr>
            <w:tcW w:w="5956" w:type="dxa"/>
          </w:tcPr>
          <w:p w14:paraId="3A1C0E3E" w14:textId="77777777" w:rsidR="007B1B3D" w:rsidRDefault="007B1B3D" w:rsidP="001E61B8">
            <w:pPr>
              <w:rPr>
                <w:sz w:val="22"/>
                <w:szCs w:val="22"/>
              </w:rPr>
            </w:pPr>
          </w:p>
          <w:p w14:paraId="615B3E1B" w14:textId="77777777" w:rsidR="001761BD" w:rsidRPr="001761BD" w:rsidRDefault="00126631" w:rsidP="00583E5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Nothing to </w:t>
            </w:r>
            <w:r w:rsidR="00B14C85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eport</w:t>
            </w:r>
          </w:p>
        </w:tc>
        <w:tc>
          <w:tcPr>
            <w:tcW w:w="1536" w:type="dxa"/>
          </w:tcPr>
          <w:p w14:paraId="046A8CFF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06AFB76E" w14:textId="77777777" w:rsidR="006C2A60" w:rsidRDefault="006C2A60" w:rsidP="00126631">
            <w:pPr>
              <w:rPr>
                <w:sz w:val="22"/>
                <w:szCs w:val="22"/>
              </w:rPr>
            </w:pPr>
          </w:p>
        </w:tc>
      </w:tr>
      <w:tr w:rsidR="00F84C6F" w:rsidRPr="00AC2297" w14:paraId="4BB7EB13" w14:textId="77777777" w:rsidTr="0073350E">
        <w:trPr>
          <w:trHeight w:val="1518"/>
        </w:trPr>
        <w:tc>
          <w:tcPr>
            <w:tcW w:w="1778" w:type="dxa"/>
          </w:tcPr>
          <w:p w14:paraId="4DD47013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69DC5A6C" w14:textId="77777777" w:rsidR="003A2488" w:rsidRDefault="003E6344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Communications</w:t>
            </w:r>
          </w:p>
          <w:p w14:paraId="4585D30D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</w:tc>
        <w:tc>
          <w:tcPr>
            <w:tcW w:w="5956" w:type="dxa"/>
          </w:tcPr>
          <w:p w14:paraId="39FE7031" w14:textId="77777777" w:rsidR="003E6344" w:rsidRDefault="003E6344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6CC0A68D" w14:textId="2C89E51B" w:rsidR="00892807" w:rsidRDefault="0073350E" w:rsidP="003725B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  <w:r w:rsidR="003725B7" w:rsidRPr="003725B7">
              <w:rPr>
                <w:sz w:val="22"/>
                <w:szCs w:val="22"/>
              </w:rPr>
              <w:t xml:space="preserve"> </w:t>
            </w:r>
          </w:p>
          <w:p w14:paraId="6B0DA7F4" w14:textId="12D53C9D" w:rsidR="00892807" w:rsidRPr="00892807" w:rsidRDefault="00892807" w:rsidP="00892807">
            <w:pPr>
              <w:pStyle w:val="ListParagraph"/>
              <w:numPr>
                <w:ilvl w:val="0"/>
                <w:numId w:val="35"/>
              </w:numPr>
              <w:ind w:left="1313"/>
              <w:rPr>
                <w:sz w:val="22"/>
                <w:szCs w:val="22"/>
              </w:rPr>
            </w:pPr>
            <w:r w:rsidRPr="00892807">
              <w:rPr>
                <w:sz w:val="22"/>
                <w:szCs w:val="22"/>
              </w:rPr>
              <w:t>l</w:t>
            </w:r>
            <w:r w:rsidR="00901518" w:rsidRPr="00892807">
              <w:rPr>
                <w:sz w:val="22"/>
                <w:szCs w:val="22"/>
              </w:rPr>
              <w:t xml:space="preserve">inks of </w:t>
            </w:r>
            <w:r w:rsidR="00123529" w:rsidRPr="00892807">
              <w:rPr>
                <w:sz w:val="22"/>
                <w:szCs w:val="22"/>
              </w:rPr>
              <w:t>reports</w:t>
            </w:r>
            <w:r w:rsidR="00901518" w:rsidRPr="00892807">
              <w:rPr>
                <w:sz w:val="22"/>
                <w:szCs w:val="22"/>
              </w:rPr>
              <w:t xml:space="preserve"> will continue to be sent to trustees</w:t>
            </w:r>
            <w:r w:rsidR="0073350E" w:rsidRPr="00892807">
              <w:rPr>
                <w:sz w:val="22"/>
                <w:szCs w:val="22"/>
              </w:rPr>
              <w:t xml:space="preserve"> however the board meeting minutes will no longer repeat details </w:t>
            </w:r>
            <w:r w:rsidR="00EF56BA">
              <w:rPr>
                <w:sz w:val="22"/>
                <w:szCs w:val="22"/>
              </w:rPr>
              <w:t xml:space="preserve">in the minutes </w:t>
            </w:r>
            <w:r w:rsidR="0073350E" w:rsidRPr="00892807">
              <w:rPr>
                <w:sz w:val="22"/>
                <w:szCs w:val="22"/>
              </w:rPr>
              <w:t>that are already in the reports</w:t>
            </w:r>
            <w:r w:rsidRPr="00892807">
              <w:rPr>
                <w:sz w:val="22"/>
                <w:szCs w:val="22"/>
              </w:rPr>
              <w:t xml:space="preserve"> </w:t>
            </w:r>
          </w:p>
          <w:p w14:paraId="241B7A30" w14:textId="0A9B8D8B" w:rsidR="00892807" w:rsidRPr="00892807" w:rsidRDefault="00892807" w:rsidP="00892807">
            <w:pPr>
              <w:pStyle w:val="ListParagraph"/>
              <w:numPr>
                <w:ilvl w:val="0"/>
                <w:numId w:val="35"/>
              </w:numPr>
              <w:ind w:left="1313"/>
              <w:rPr>
                <w:sz w:val="22"/>
                <w:szCs w:val="22"/>
              </w:rPr>
            </w:pPr>
            <w:r w:rsidRPr="00892807">
              <w:rPr>
                <w:sz w:val="22"/>
                <w:szCs w:val="22"/>
              </w:rPr>
              <w:t xml:space="preserve">new webmaster is M. </w:t>
            </w:r>
            <w:proofErr w:type="spellStart"/>
            <w:r w:rsidRPr="00892807">
              <w:rPr>
                <w:sz w:val="22"/>
                <w:szCs w:val="22"/>
              </w:rPr>
              <w:t>Fakaro</w:t>
            </w:r>
            <w:proofErr w:type="spellEnd"/>
            <w:r w:rsidRPr="00892807">
              <w:rPr>
                <w:sz w:val="22"/>
                <w:szCs w:val="22"/>
              </w:rPr>
              <w:t>. Many thanks to R. Timbers for helping set up new and improved website.</w:t>
            </w:r>
          </w:p>
          <w:p w14:paraId="129DCA5E" w14:textId="77777777" w:rsidR="00892807" w:rsidRDefault="00892807" w:rsidP="00892807">
            <w:pPr>
              <w:pStyle w:val="ListParagraph"/>
              <w:rPr>
                <w:sz w:val="22"/>
                <w:szCs w:val="22"/>
              </w:rPr>
            </w:pPr>
          </w:p>
          <w:p w14:paraId="7122D2CD" w14:textId="40BC8528" w:rsidR="003725B7" w:rsidRDefault="00901518" w:rsidP="003725B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73350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Ainsworth has created a list of </w:t>
            </w:r>
            <w:r w:rsidR="00123529">
              <w:rPr>
                <w:sz w:val="22"/>
                <w:szCs w:val="22"/>
              </w:rPr>
              <w:t>documents</w:t>
            </w:r>
            <w:r>
              <w:rPr>
                <w:sz w:val="22"/>
                <w:szCs w:val="22"/>
              </w:rPr>
              <w:t xml:space="preserve"> to be </w:t>
            </w:r>
            <w:r w:rsidR="0073350E">
              <w:rPr>
                <w:sz w:val="22"/>
                <w:szCs w:val="22"/>
              </w:rPr>
              <w:t xml:space="preserve">posted on monthly, </w:t>
            </w:r>
            <w:proofErr w:type="gramStart"/>
            <w:r w:rsidR="0073350E">
              <w:rPr>
                <w:sz w:val="22"/>
                <w:szCs w:val="22"/>
              </w:rPr>
              <w:t>annual</w:t>
            </w:r>
            <w:r w:rsidR="00EF56BA">
              <w:rPr>
                <w:sz w:val="22"/>
                <w:szCs w:val="22"/>
              </w:rPr>
              <w:t>ly</w:t>
            </w:r>
            <w:proofErr w:type="gramEnd"/>
            <w:r w:rsidR="0073350E">
              <w:rPr>
                <w:sz w:val="22"/>
                <w:szCs w:val="22"/>
              </w:rPr>
              <w:t xml:space="preserve"> and as required basis to the </w:t>
            </w:r>
            <w:r>
              <w:rPr>
                <w:sz w:val="22"/>
                <w:szCs w:val="22"/>
              </w:rPr>
              <w:t xml:space="preserve">website by the </w:t>
            </w:r>
            <w:r w:rsidR="0073350E">
              <w:rPr>
                <w:sz w:val="22"/>
                <w:szCs w:val="22"/>
              </w:rPr>
              <w:t xml:space="preserve">Office </w:t>
            </w:r>
            <w:r>
              <w:rPr>
                <w:sz w:val="22"/>
                <w:szCs w:val="22"/>
              </w:rPr>
              <w:t>Administrato</w:t>
            </w:r>
            <w:r w:rsidR="0073350E">
              <w:rPr>
                <w:sz w:val="22"/>
                <w:szCs w:val="22"/>
              </w:rPr>
              <w:t>r.</w:t>
            </w:r>
          </w:p>
          <w:p w14:paraId="5FFDFBDB" w14:textId="77777777" w:rsidR="003725B7" w:rsidRPr="003725B7" w:rsidRDefault="003725B7" w:rsidP="003725B7">
            <w:pPr>
              <w:pStyle w:val="ListParagraph"/>
              <w:rPr>
                <w:sz w:val="22"/>
                <w:szCs w:val="22"/>
              </w:rPr>
            </w:pPr>
          </w:p>
          <w:p w14:paraId="7994C509" w14:textId="77777777" w:rsidR="0073350E" w:rsidRDefault="00C31654" w:rsidP="007469A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A756F">
              <w:rPr>
                <w:sz w:val="22"/>
                <w:szCs w:val="22"/>
              </w:rPr>
              <w:t>Fanny Bay Flyer</w:t>
            </w:r>
            <w:r w:rsidR="00746ED4" w:rsidRPr="00AA756F">
              <w:rPr>
                <w:sz w:val="22"/>
                <w:szCs w:val="22"/>
              </w:rPr>
              <w:t xml:space="preserve"> </w:t>
            </w:r>
            <w:r w:rsidR="005A5336">
              <w:rPr>
                <w:sz w:val="22"/>
                <w:szCs w:val="22"/>
              </w:rPr>
              <w:t>articles</w:t>
            </w:r>
            <w:r w:rsidR="00DD00E9">
              <w:rPr>
                <w:sz w:val="22"/>
                <w:szCs w:val="22"/>
              </w:rPr>
              <w:t xml:space="preserve">: </w:t>
            </w:r>
          </w:p>
          <w:p w14:paraId="5643DBB5" w14:textId="76EBD934" w:rsidR="0073350E" w:rsidRPr="0073350E" w:rsidRDefault="0073350E" w:rsidP="0073350E">
            <w:pPr>
              <w:pStyle w:val="ListParagraph"/>
              <w:numPr>
                <w:ilvl w:val="0"/>
                <w:numId w:val="33"/>
              </w:numPr>
              <w:ind w:left="1597"/>
              <w:rPr>
                <w:sz w:val="22"/>
                <w:szCs w:val="22"/>
              </w:rPr>
            </w:pPr>
            <w:r w:rsidRPr="0073350E">
              <w:rPr>
                <w:sz w:val="22"/>
                <w:szCs w:val="22"/>
              </w:rPr>
              <w:t>burn</w:t>
            </w:r>
            <w:r w:rsidR="00DD00E9" w:rsidRPr="0073350E">
              <w:rPr>
                <w:sz w:val="22"/>
                <w:szCs w:val="22"/>
              </w:rPr>
              <w:t xml:space="preserve"> permits</w:t>
            </w:r>
            <w:r w:rsidRPr="0073350E">
              <w:rPr>
                <w:sz w:val="22"/>
                <w:szCs w:val="22"/>
              </w:rPr>
              <w:t xml:space="preserve"> required as of April 15</w:t>
            </w:r>
          </w:p>
          <w:p w14:paraId="2DB3E44A" w14:textId="51607490" w:rsidR="007469A3" w:rsidRPr="0073350E" w:rsidRDefault="00DD00E9" w:rsidP="0073350E">
            <w:pPr>
              <w:pStyle w:val="ListParagraph"/>
              <w:numPr>
                <w:ilvl w:val="0"/>
                <w:numId w:val="33"/>
              </w:numPr>
              <w:ind w:left="1597"/>
              <w:rPr>
                <w:sz w:val="22"/>
                <w:szCs w:val="22"/>
              </w:rPr>
            </w:pPr>
            <w:r w:rsidRPr="0073350E">
              <w:rPr>
                <w:sz w:val="22"/>
                <w:szCs w:val="22"/>
              </w:rPr>
              <w:t xml:space="preserve">May 12 </w:t>
            </w:r>
            <w:r w:rsidR="0073350E" w:rsidRPr="0073350E">
              <w:rPr>
                <w:sz w:val="22"/>
                <w:szCs w:val="22"/>
              </w:rPr>
              <w:t xml:space="preserve">– 14 </w:t>
            </w:r>
            <w:proofErr w:type="gramStart"/>
            <w:r w:rsidRPr="0073350E">
              <w:rPr>
                <w:sz w:val="22"/>
                <w:szCs w:val="22"/>
              </w:rPr>
              <w:t>water</w:t>
            </w:r>
            <w:proofErr w:type="gramEnd"/>
            <w:r w:rsidRPr="0073350E">
              <w:rPr>
                <w:sz w:val="22"/>
                <w:szCs w:val="22"/>
              </w:rPr>
              <w:t xml:space="preserve"> flushing</w:t>
            </w:r>
            <w:r w:rsidR="00EF56BA">
              <w:rPr>
                <w:sz w:val="22"/>
                <w:szCs w:val="22"/>
              </w:rPr>
              <w:t xml:space="preserve"> by our water operator</w:t>
            </w:r>
          </w:p>
          <w:p w14:paraId="6949BBA7" w14:textId="77777777" w:rsidR="006333E2" w:rsidRDefault="006333E2" w:rsidP="006333E2">
            <w:pPr>
              <w:rPr>
                <w:sz w:val="22"/>
                <w:szCs w:val="22"/>
              </w:rPr>
            </w:pPr>
          </w:p>
          <w:p w14:paraId="572BBBB2" w14:textId="6E40E786" w:rsidR="00B14C85" w:rsidRPr="00EF56BA" w:rsidRDefault="00DD00E9" w:rsidP="00EF56B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flushing notice</w:t>
            </w:r>
            <w:r w:rsidR="0089280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will be written by M. </w:t>
            </w:r>
            <w:proofErr w:type="spellStart"/>
            <w:r>
              <w:rPr>
                <w:sz w:val="22"/>
                <w:szCs w:val="22"/>
              </w:rPr>
              <w:t>Fakaro</w:t>
            </w:r>
            <w:proofErr w:type="spellEnd"/>
            <w:r>
              <w:rPr>
                <w:sz w:val="22"/>
                <w:szCs w:val="22"/>
              </w:rPr>
              <w:t xml:space="preserve"> and sent to the Administrator for distribution</w:t>
            </w:r>
            <w:r w:rsidR="00892807">
              <w:rPr>
                <w:sz w:val="22"/>
                <w:szCs w:val="22"/>
              </w:rPr>
              <w:t xml:space="preserve"> to the SPID ratepayers email list</w:t>
            </w:r>
          </w:p>
          <w:p w14:paraId="43CC8BD5" w14:textId="77777777" w:rsidR="001A0BAB" w:rsidRPr="001A0BAB" w:rsidRDefault="001A0BAB" w:rsidP="005A5336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191D4100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12534F94" w14:textId="77777777" w:rsidR="003725B7" w:rsidRDefault="003725B7" w:rsidP="006A4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  <w:p w14:paraId="2120AB8C" w14:textId="77777777" w:rsidR="003725B7" w:rsidRDefault="003725B7" w:rsidP="006A4254">
            <w:pPr>
              <w:rPr>
                <w:sz w:val="22"/>
                <w:szCs w:val="22"/>
              </w:rPr>
            </w:pPr>
          </w:p>
          <w:p w14:paraId="71204817" w14:textId="77777777" w:rsidR="0073350E" w:rsidRDefault="0073350E" w:rsidP="006A4254">
            <w:pPr>
              <w:rPr>
                <w:sz w:val="22"/>
                <w:szCs w:val="22"/>
              </w:rPr>
            </w:pPr>
          </w:p>
          <w:p w14:paraId="3EBC4663" w14:textId="77777777" w:rsidR="0073350E" w:rsidRDefault="0073350E" w:rsidP="006A4254">
            <w:pPr>
              <w:rPr>
                <w:sz w:val="22"/>
                <w:szCs w:val="22"/>
              </w:rPr>
            </w:pPr>
          </w:p>
          <w:p w14:paraId="0DC621B7" w14:textId="77777777" w:rsidR="0073350E" w:rsidRDefault="0073350E" w:rsidP="006A4254">
            <w:pPr>
              <w:rPr>
                <w:sz w:val="22"/>
                <w:szCs w:val="22"/>
              </w:rPr>
            </w:pPr>
          </w:p>
          <w:p w14:paraId="249365EF" w14:textId="77777777" w:rsidR="0073350E" w:rsidRDefault="0073350E" w:rsidP="006A4254">
            <w:pPr>
              <w:rPr>
                <w:sz w:val="22"/>
                <w:szCs w:val="22"/>
              </w:rPr>
            </w:pPr>
          </w:p>
          <w:p w14:paraId="17DFEB81" w14:textId="77777777" w:rsidR="0073350E" w:rsidRDefault="0073350E" w:rsidP="006A4254">
            <w:pPr>
              <w:rPr>
                <w:sz w:val="22"/>
                <w:szCs w:val="22"/>
              </w:rPr>
            </w:pPr>
          </w:p>
          <w:p w14:paraId="3EFDB355" w14:textId="77777777" w:rsidR="00892807" w:rsidRDefault="00892807" w:rsidP="006A4254">
            <w:pPr>
              <w:rPr>
                <w:sz w:val="22"/>
                <w:szCs w:val="22"/>
              </w:rPr>
            </w:pPr>
          </w:p>
          <w:p w14:paraId="7D61D7F9" w14:textId="4A6926AE" w:rsidR="00DF0236" w:rsidRDefault="00B617D3" w:rsidP="006A4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Fakaro</w:t>
            </w:r>
            <w:proofErr w:type="spellEnd"/>
          </w:p>
          <w:p w14:paraId="2DA75B8D" w14:textId="77777777" w:rsidR="00D0611B" w:rsidRDefault="00D0611B" w:rsidP="006A4254">
            <w:pPr>
              <w:rPr>
                <w:sz w:val="22"/>
                <w:szCs w:val="22"/>
              </w:rPr>
            </w:pPr>
          </w:p>
          <w:p w14:paraId="086FFFE0" w14:textId="045A6DC9" w:rsidR="006A4254" w:rsidRPr="00AC2297" w:rsidRDefault="006A4254" w:rsidP="00B617D3">
            <w:pPr>
              <w:rPr>
                <w:sz w:val="22"/>
                <w:szCs w:val="22"/>
              </w:rPr>
            </w:pPr>
          </w:p>
        </w:tc>
      </w:tr>
      <w:tr w:rsidR="00F84C6F" w:rsidRPr="00AC2297" w14:paraId="50B81DD5" w14:textId="77777777" w:rsidTr="0073350E">
        <w:trPr>
          <w:trHeight w:val="1440"/>
        </w:trPr>
        <w:tc>
          <w:tcPr>
            <w:tcW w:w="1778" w:type="dxa"/>
          </w:tcPr>
          <w:p w14:paraId="69C2024E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52DF5256" w14:textId="77777777" w:rsidR="00F01809" w:rsidRPr="00AC2297" w:rsidRDefault="00F01809" w:rsidP="00DB2AAC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By Laws</w:t>
            </w:r>
            <w:r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5956" w:type="dxa"/>
          </w:tcPr>
          <w:p w14:paraId="5C668B93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65057A8A" w14:textId="699852DD" w:rsidR="00F01809" w:rsidRPr="00843C57" w:rsidRDefault="00FE381B" w:rsidP="00EC7083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Revised </w:t>
            </w:r>
            <w:r w:rsidR="005D6383">
              <w:rPr>
                <w:sz w:val="22"/>
                <w:szCs w:val="22"/>
              </w:rPr>
              <w:t xml:space="preserve">Fire By-Law – </w:t>
            </w:r>
            <w:r w:rsidR="00DD00E9">
              <w:rPr>
                <w:sz w:val="22"/>
                <w:szCs w:val="22"/>
              </w:rPr>
              <w:t xml:space="preserve">Fire Chief </w:t>
            </w:r>
            <w:r w:rsidR="00C54084">
              <w:rPr>
                <w:sz w:val="22"/>
                <w:szCs w:val="22"/>
              </w:rPr>
              <w:t>to review the latest</w:t>
            </w:r>
            <w:r w:rsidR="00DD00E9">
              <w:rPr>
                <w:sz w:val="22"/>
                <w:szCs w:val="22"/>
              </w:rPr>
              <w:t xml:space="preserve"> draft for </w:t>
            </w:r>
            <w:r w:rsidR="00C54084">
              <w:rPr>
                <w:sz w:val="22"/>
                <w:szCs w:val="22"/>
              </w:rPr>
              <w:t>edit and comment.</w:t>
            </w:r>
            <w:r w:rsidR="00DD00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</w:tcPr>
          <w:p w14:paraId="1E3AEECE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55E8132D" w14:textId="77777777" w:rsidR="00F01809" w:rsidRDefault="00FE381B" w:rsidP="00DB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Reinhardt</w:t>
            </w:r>
          </w:p>
          <w:p w14:paraId="433483FB" w14:textId="77777777" w:rsidR="00FE381B" w:rsidRPr="00505D50" w:rsidRDefault="00FE381B" w:rsidP="00DB2AAC">
            <w:pPr>
              <w:rPr>
                <w:sz w:val="22"/>
                <w:szCs w:val="22"/>
              </w:rPr>
            </w:pPr>
          </w:p>
        </w:tc>
      </w:tr>
      <w:tr w:rsidR="00F84C6F" w:rsidRPr="00AC2297" w14:paraId="1C48B4AD" w14:textId="77777777" w:rsidTr="0073350E">
        <w:trPr>
          <w:trHeight w:val="1518"/>
        </w:trPr>
        <w:tc>
          <w:tcPr>
            <w:tcW w:w="1778" w:type="dxa"/>
          </w:tcPr>
          <w:p w14:paraId="425D5290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11354485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Ratepayer Liaison Committee</w:t>
            </w:r>
          </w:p>
        </w:tc>
        <w:tc>
          <w:tcPr>
            <w:tcW w:w="5956" w:type="dxa"/>
          </w:tcPr>
          <w:p w14:paraId="43924C80" w14:textId="77777777" w:rsidR="008105B5" w:rsidRDefault="008105B5" w:rsidP="008105B5">
            <w:pPr>
              <w:pStyle w:val="ListParagraph"/>
              <w:rPr>
                <w:sz w:val="22"/>
                <w:szCs w:val="22"/>
              </w:rPr>
            </w:pPr>
          </w:p>
          <w:p w14:paraId="160FBAD2" w14:textId="61D191B6" w:rsidR="00FD41C3" w:rsidRDefault="00C54084" w:rsidP="009013E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D00E9">
              <w:rPr>
                <w:sz w:val="22"/>
                <w:szCs w:val="22"/>
              </w:rPr>
              <w:t xml:space="preserve">atepayer </w:t>
            </w:r>
            <w:r>
              <w:rPr>
                <w:sz w:val="22"/>
                <w:szCs w:val="22"/>
              </w:rPr>
              <w:t>concerned</w:t>
            </w:r>
            <w:r w:rsidR="00DD00E9">
              <w:rPr>
                <w:sz w:val="22"/>
                <w:szCs w:val="22"/>
              </w:rPr>
              <w:t xml:space="preserve"> about the condition of Victor Lane</w:t>
            </w:r>
            <w:r>
              <w:rPr>
                <w:sz w:val="22"/>
                <w:szCs w:val="22"/>
              </w:rPr>
              <w:t xml:space="preserve">; RLT communicated via email that 1) the warranty for the water project has expired and 2) the area of concern is under MOTI </w:t>
            </w:r>
            <w:proofErr w:type="spellStart"/>
            <w:r>
              <w:rPr>
                <w:sz w:val="22"/>
                <w:szCs w:val="22"/>
              </w:rPr>
              <w:t>jurisdication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D1552B">
              <w:rPr>
                <w:sz w:val="22"/>
                <w:szCs w:val="22"/>
              </w:rPr>
              <w:t xml:space="preserve">Email </w:t>
            </w:r>
            <w:r w:rsidR="00EF56BA">
              <w:rPr>
                <w:sz w:val="22"/>
                <w:szCs w:val="22"/>
              </w:rPr>
              <w:t xml:space="preserve">to the ratepayer </w:t>
            </w:r>
            <w:r w:rsidR="00D1552B">
              <w:rPr>
                <w:sz w:val="22"/>
                <w:szCs w:val="22"/>
              </w:rPr>
              <w:t xml:space="preserve">included contact information for the MOTI supervisor that SPID met with in the past. </w:t>
            </w:r>
          </w:p>
          <w:p w14:paraId="5E8DAE74" w14:textId="78314ACE" w:rsidR="00D1552B" w:rsidRPr="009013E9" w:rsidRDefault="00D1552B" w:rsidP="00D1552B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7C6A7DD1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1C69A76D" w14:textId="77777777" w:rsidR="003D160F" w:rsidRPr="00AC2297" w:rsidRDefault="003D160F" w:rsidP="00CE5DC3">
            <w:pPr>
              <w:rPr>
                <w:sz w:val="22"/>
                <w:szCs w:val="22"/>
              </w:rPr>
            </w:pPr>
          </w:p>
        </w:tc>
      </w:tr>
      <w:tr w:rsidR="00F84C6F" w:rsidRPr="00AC2297" w14:paraId="219E03D5" w14:textId="77777777" w:rsidTr="0073350E">
        <w:trPr>
          <w:trHeight w:val="1518"/>
        </w:trPr>
        <w:tc>
          <w:tcPr>
            <w:tcW w:w="1778" w:type="dxa"/>
          </w:tcPr>
          <w:p w14:paraId="2C480D8B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633C45EA" w14:textId="77777777" w:rsidR="00202B08" w:rsidRPr="00AC2297" w:rsidRDefault="00B25B2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202B08">
              <w:rPr>
                <w:sz w:val="22"/>
                <w:szCs w:val="22"/>
              </w:rPr>
              <w:t>Health and Safety Committee</w:t>
            </w:r>
          </w:p>
        </w:tc>
        <w:tc>
          <w:tcPr>
            <w:tcW w:w="5956" w:type="dxa"/>
          </w:tcPr>
          <w:p w14:paraId="1A531999" w14:textId="77777777" w:rsidR="00020C25" w:rsidRPr="005D6383" w:rsidRDefault="00020C25" w:rsidP="005D6383">
            <w:pPr>
              <w:rPr>
                <w:sz w:val="22"/>
                <w:szCs w:val="22"/>
              </w:rPr>
            </w:pPr>
          </w:p>
          <w:p w14:paraId="0109B22A" w14:textId="77777777" w:rsidR="00F84C6F" w:rsidRPr="00F84C6F" w:rsidRDefault="00F84C6F" w:rsidP="00F84C6F">
            <w:pPr>
              <w:pStyle w:val="ListParagraph"/>
              <w:rPr>
                <w:sz w:val="22"/>
                <w:szCs w:val="22"/>
              </w:rPr>
            </w:pPr>
          </w:p>
          <w:p w14:paraId="6C04B5D8" w14:textId="4E2E56C9" w:rsidR="00B62C7D" w:rsidRPr="00D1552B" w:rsidRDefault="00AC60AC" w:rsidP="00D1552B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D1552B">
              <w:rPr>
                <w:sz w:val="22"/>
                <w:szCs w:val="22"/>
              </w:rPr>
              <w:t>B</w:t>
            </w:r>
            <w:r w:rsidR="00020C25" w:rsidRPr="00D1552B">
              <w:rPr>
                <w:sz w:val="22"/>
                <w:szCs w:val="22"/>
              </w:rPr>
              <w:t>ullying</w:t>
            </w:r>
            <w:r w:rsidR="00284BE5" w:rsidRPr="00D1552B">
              <w:rPr>
                <w:sz w:val="22"/>
                <w:szCs w:val="22"/>
              </w:rPr>
              <w:t xml:space="preserve"> </w:t>
            </w:r>
            <w:r w:rsidRPr="00D1552B">
              <w:rPr>
                <w:sz w:val="22"/>
                <w:szCs w:val="22"/>
              </w:rPr>
              <w:t xml:space="preserve">and Harassment </w:t>
            </w:r>
            <w:r w:rsidR="00F84C6F" w:rsidRPr="00D1552B">
              <w:rPr>
                <w:sz w:val="22"/>
                <w:szCs w:val="22"/>
              </w:rPr>
              <w:t>polic</w:t>
            </w:r>
            <w:r w:rsidR="00284BE5" w:rsidRPr="00D1552B">
              <w:rPr>
                <w:sz w:val="22"/>
                <w:szCs w:val="22"/>
              </w:rPr>
              <w:t>y</w:t>
            </w:r>
            <w:r w:rsidR="00EF56BA">
              <w:rPr>
                <w:sz w:val="22"/>
                <w:szCs w:val="22"/>
              </w:rPr>
              <w:t xml:space="preserve"> - m</w:t>
            </w:r>
            <w:r w:rsidR="00D1552B">
              <w:rPr>
                <w:sz w:val="22"/>
                <w:szCs w:val="22"/>
              </w:rPr>
              <w:t>otion to</w:t>
            </w:r>
            <w:r w:rsidR="00DD00E9" w:rsidRPr="00D1552B">
              <w:rPr>
                <w:sz w:val="22"/>
                <w:szCs w:val="22"/>
              </w:rPr>
              <w:t xml:space="preserve"> adopt the new policy</w:t>
            </w:r>
            <w:r w:rsidR="00D1552B">
              <w:rPr>
                <w:sz w:val="22"/>
                <w:szCs w:val="22"/>
              </w:rPr>
              <w:t xml:space="preserve"> </w:t>
            </w:r>
            <w:r w:rsidR="00DD00E9" w:rsidRPr="00D1552B">
              <w:rPr>
                <w:sz w:val="22"/>
                <w:szCs w:val="22"/>
              </w:rPr>
              <w:t xml:space="preserve">per the </w:t>
            </w:r>
            <w:r w:rsidRPr="00D1552B">
              <w:rPr>
                <w:sz w:val="22"/>
                <w:szCs w:val="22"/>
              </w:rPr>
              <w:t xml:space="preserve">JH&amp;SC Recommendation </w:t>
            </w:r>
            <w:r w:rsidR="00DD00E9" w:rsidRPr="00D1552B">
              <w:rPr>
                <w:sz w:val="22"/>
                <w:szCs w:val="22"/>
              </w:rPr>
              <w:t>M/S/C R</w:t>
            </w:r>
            <w:r w:rsidR="00D1552B">
              <w:rPr>
                <w:sz w:val="22"/>
                <w:szCs w:val="22"/>
              </w:rPr>
              <w:t xml:space="preserve">. </w:t>
            </w:r>
            <w:r w:rsidR="00DD00E9" w:rsidRPr="00D1552B">
              <w:rPr>
                <w:sz w:val="22"/>
                <w:szCs w:val="22"/>
              </w:rPr>
              <w:t>Timbers</w:t>
            </w:r>
            <w:r w:rsidR="00D1552B">
              <w:rPr>
                <w:sz w:val="22"/>
                <w:szCs w:val="22"/>
              </w:rPr>
              <w:t xml:space="preserve"> / J. </w:t>
            </w:r>
            <w:r w:rsidR="00DD00E9" w:rsidRPr="00D1552B">
              <w:rPr>
                <w:sz w:val="22"/>
                <w:szCs w:val="22"/>
              </w:rPr>
              <w:t>Wahl</w:t>
            </w:r>
          </w:p>
          <w:p w14:paraId="0BC10F57" w14:textId="77777777" w:rsidR="00F84C6F" w:rsidRPr="00F84C6F" w:rsidRDefault="00F84C6F" w:rsidP="00F84C6F">
            <w:pPr>
              <w:pStyle w:val="ListParagraph"/>
              <w:rPr>
                <w:sz w:val="22"/>
                <w:szCs w:val="22"/>
              </w:rPr>
            </w:pPr>
          </w:p>
          <w:p w14:paraId="087642F8" w14:textId="77777777" w:rsidR="00F84C6F" w:rsidRPr="00020C25" w:rsidRDefault="00F84C6F" w:rsidP="00F84C6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3BF3C6B6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121B0AD0" w14:textId="77777777" w:rsidR="00964FE2" w:rsidRDefault="00964FE2" w:rsidP="00D0611B">
            <w:pPr>
              <w:rPr>
                <w:sz w:val="22"/>
                <w:szCs w:val="22"/>
              </w:rPr>
            </w:pPr>
          </w:p>
          <w:p w14:paraId="327A871C" w14:textId="77777777" w:rsidR="00FE381B" w:rsidRPr="00D0611B" w:rsidRDefault="00FE381B" w:rsidP="00D0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Reinhardt</w:t>
            </w:r>
          </w:p>
        </w:tc>
      </w:tr>
      <w:tr w:rsidR="00F84C6F" w:rsidRPr="00AC2297" w14:paraId="048DDF71" w14:textId="77777777" w:rsidTr="0073350E">
        <w:trPr>
          <w:trHeight w:val="1518"/>
        </w:trPr>
        <w:tc>
          <w:tcPr>
            <w:tcW w:w="1778" w:type="dxa"/>
          </w:tcPr>
          <w:p w14:paraId="4605C0DE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65C4F138" w14:textId="77777777" w:rsidR="00964FE2" w:rsidRDefault="00964FE2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Resources Committee</w:t>
            </w:r>
          </w:p>
        </w:tc>
        <w:tc>
          <w:tcPr>
            <w:tcW w:w="5956" w:type="dxa"/>
          </w:tcPr>
          <w:p w14:paraId="4F66D2C0" w14:textId="77777777" w:rsidR="00B80C59" w:rsidRDefault="00B80C59" w:rsidP="00B80C59">
            <w:pPr>
              <w:pStyle w:val="ListParagraph"/>
              <w:rPr>
                <w:sz w:val="22"/>
                <w:szCs w:val="22"/>
              </w:rPr>
            </w:pPr>
          </w:p>
          <w:p w14:paraId="36AFEEAF" w14:textId="77777777" w:rsidR="008105B5" w:rsidRDefault="008105B5" w:rsidP="00481948">
            <w:pPr>
              <w:rPr>
                <w:sz w:val="22"/>
                <w:szCs w:val="22"/>
              </w:rPr>
            </w:pPr>
          </w:p>
          <w:p w14:paraId="16648EBC" w14:textId="77777777" w:rsidR="00B80C59" w:rsidRPr="00912CCC" w:rsidRDefault="00695570" w:rsidP="00912CCC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Nothing to report</w:t>
            </w:r>
          </w:p>
        </w:tc>
        <w:tc>
          <w:tcPr>
            <w:tcW w:w="1536" w:type="dxa"/>
          </w:tcPr>
          <w:p w14:paraId="2AC49000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51D51156" w14:textId="77777777" w:rsidR="009C75FB" w:rsidRDefault="009C75FB" w:rsidP="00CE5DC3">
            <w:pPr>
              <w:rPr>
                <w:sz w:val="22"/>
                <w:szCs w:val="22"/>
              </w:rPr>
            </w:pPr>
          </w:p>
          <w:p w14:paraId="7606F910" w14:textId="77777777" w:rsidR="00964FE2" w:rsidRDefault="00964FE2" w:rsidP="00CE5DC3">
            <w:pPr>
              <w:rPr>
                <w:sz w:val="22"/>
                <w:szCs w:val="22"/>
              </w:rPr>
            </w:pPr>
          </w:p>
        </w:tc>
      </w:tr>
      <w:tr w:rsidR="00F84C6F" w:rsidRPr="00AC2297" w14:paraId="68EFBB81" w14:textId="77777777" w:rsidTr="0073350E">
        <w:trPr>
          <w:trHeight w:val="1518"/>
        </w:trPr>
        <w:tc>
          <w:tcPr>
            <w:tcW w:w="1778" w:type="dxa"/>
          </w:tcPr>
          <w:p w14:paraId="51C192A5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0A239E4F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Building and Grounds</w:t>
            </w:r>
            <w:r w:rsidR="00B14C85"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5956" w:type="dxa"/>
          </w:tcPr>
          <w:p w14:paraId="137CF26D" w14:textId="77777777" w:rsidR="00B25B26" w:rsidRPr="00F513E0" w:rsidRDefault="00B25B26" w:rsidP="00F513E0">
            <w:pPr>
              <w:pStyle w:val="ListParagraph"/>
              <w:rPr>
                <w:sz w:val="22"/>
                <w:szCs w:val="22"/>
              </w:rPr>
            </w:pPr>
          </w:p>
          <w:p w14:paraId="2C05808A" w14:textId="03F714BD" w:rsidR="00C65215" w:rsidRDefault="00C65215" w:rsidP="008E0757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8E0757">
              <w:rPr>
                <w:sz w:val="22"/>
                <w:szCs w:val="22"/>
              </w:rPr>
              <w:t xml:space="preserve">General discussion re adding </w:t>
            </w:r>
            <w:r w:rsidR="00BA3D66" w:rsidRPr="008E0757">
              <w:rPr>
                <w:sz w:val="22"/>
                <w:szCs w:val="22"/>
              </w:rPr>
              <w:t>“No Beach Fires Allowed”</w:t>
            </w:r>
            <w:r w:rsidR="00DD00E9" w:rsidRPr="008E0757">
              <w:rPr>
                <w:sz w:val="22"/>
                <w:szCs w:val="22"/>
              </w:rPr>
              <w:t xml:space="preserve"> </w:t>
            </w:r>
            <w:r w:rsidRPr="008E0757">
              <w:rPr>
                <w:sz w:val="22"/>
                <w:szCs w:val="22"/>
              </w:rPr>
              <w:t xml:space="preserve">to the SPID welcome </w:t>
            </w:r>
            <w:proofErr w:type="gramStart"/>
            <w:r w:rsidRPr="008E0757">
              <w:rPr>
                <w:sz w:val="22"/>
                <w:szCs w:val="22"/>
              </w:rPr>
              <w:t>sign;</w:t>
            </w:r>
            <w:proofErr w:type="gramEnd"/>
            <w:r w:rsidRPr="008E0757">
              <w:rPr>
                <w:sz w:val="22"/>
                <w:szCs w:val="22"/>
              </w:rPr>
              <w:t xml:space="preserve"> n</w:t>
            </w:r>
            <w:r w:rsidR="00DD00E9" w:rsidRPr="008E0757">
              <w:rPr>
                <w:sz w:val="22"/>
                <w:szCs w:val="22"/>
              </w:rPr>
              <w:t xml:space="preserve">o action at this time. </w:t>
            </w:r>
          </w:p>
          <w:p w14:paraId="38E33E26" w14:textId="77777777" w:rsidR="008E0757" w:rsidRPr="008E0757" w:rsidRDefault="008E0757" w:rsidP="008E0757">
            <w:pPr>
              <w:pStyle w:val="ListParagraph"/>
              <w:rPr>
                <w:sz w:val="22"/>
                <w:szCs w:val="22"/>
              </w:rPr>
            </w:pPr>
          </w:p>
          <w:p w14:paraId="363BB090" w14:textId="77777777" w:rsidR="007A05DE" w:rsidRPr="008E0757" w:rsidRDefault="00C65215" w:rsidP="008E0757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8E0757">
              <w:rPr>
                <w:sz w:val="22"/>
                <w:szCs w:val="22"/>
              </w:rPr>
              <w:t>R. Timbers to co-ordinate removal of</w:t>
            </w:r>
            <w:r w:rsidR="00DD00E9" w:rsidRPr="008E0757">
              <w:rPr>
                <w:sz w:val="22"/>
                <w:szCs w:val="22"/>
              </w:rPr>
              <w:t xml:space="preserve"> excessive moss on </w:t>
            </w:r>
            <w:r w:rsidR="008E0757" w:rsidRPr="008E0757">
              <w:rPr>
                <w:sz w:val="22"/>
                <w:szCs w:val="22"/>
              </w:rPr>
              <w:t xml:space="preserve">SPID building </w:t>
            </w:r>
            <w:r w:rsidR="00DD00E9" w:rsidRPr="008E0757">
              <w:rPr>
                <w:sz w:val="22"/>
                <w:szCs w:val="22"/>
              </w:rPr>
              <w:t>roofs</w:t>
            </w:r>
            <w:r w:rsidRPr="008E0757">
              <w:rPr>
                <w:sz w:val="22"/>
                <w:szCs w:val="22"/>
              </w:rPr>
              <w:t>; i</w:t>
            </w:r>
            <w:r w:rsidR="00DD00E9" w:rsidRPr="008E0757">
              <w:rPr>
                <w:sz w:val="22"/>
                <w:szCs w:val="22"/>
              </w:rPr>
              <w:t>mpact on environment will be considered when treating the roofs.</w:t>
            </w:r>
          </w:p>
          <w:p w14:paraId="3B6CFC24" w14:textId="6E61BA79" w:rsidR="008E0757" w:rsidRPr="00C65215" w:rsidRDefault="008E0757" w:rsidP="00C6521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5F11C1ED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0559B3C5" w14:textId="77777777" w:rsidR="00C65215" w:rsidRDefault="00C65215" w:rsidP="00ED2DE2">
            <w:pPr>
              <w:rPr>
                <w:sz w:val="22"/>
                <w:szCs w:val="22"/>
              </w:rPr>
            </w:pPr>
          </w:p>
          <w:p w14:paraId="37A37557" w14:textId="77777777" w:rsidR="00C65215" w:rsidRDefault="00C65215" w:rsidP="00ED2DE2">
            <w:pPr>
              <w:rPr>
                <w:sz w:val="22"/>
                <w:szCs w:val="22"/>
              </w:rPr>
            </w:pPr>
          </w:p>
          <w:p w14:paraId="47497A90" w14:textId="5D524164" w:rsidR="009D3FCF" w:rsidRPr="00AC2297" w:rsidRDefault="00C65215" w:rsidP="00ED2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Timbers</w:t>
            </w:r>
          </w:p>
        </w:tc>
      </w:tr>
      <w:tr w:rsidR="00F84C6F" w:rsidRPr="00AC2297" w14:paraId="3661A12B" w14:textId="77777777" w:rsidTr="0073350E">
        <w:trPr>
          <w:trHeight w:val="1518"/>
        </w:trPr>
        <w:tc>
          <w:tcPr>
            <w:tcW w:w="1778" w:type="dxa"/>
          </w:tcPr>
          <w:p w14:paraId="4FF931DB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25FA9147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Fire Dept</w:t>
            </w:r>
          </w:p>
        </w:tc>
        <w:tc>
          <w:tcPr>
            <w:tcW w:w="5956" w:type="dxa"/>
          </w:tcPr>
          <w:p w14:paraId="18A407CB" w14:textId="77777777" w:rsidR="005A2976" w:rsidRPr="00AC2297" w:rsidRDefault="005A2976" w:rsidP="001E61B8">
            <w:pPr>
              <w:rPr>
                <w:sz w:val="22"/>
                <w:szCs w:val="22"/>
              </w:rPr>
            </w:pPr>
          </w:p>
          <w:p w14:paraId="67CBB6A8" w14:textId="77777777" w:rsidR="00E400AE" w:rsidRPr="00E400AE" w:rsidRDefault="001E15F8" w:rsidP="00E400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26631">
              <w:rPr>
                <w:sz w:val="22"/>
                <w:szCs w:val="22"/>
              </w:rPr>
              <w:t xml:space="preserve">Monthly report </w:t>
            </w:r>
            <w:r w:rsidR="00E66C6B" w:rsidRPr="00126631">
              <w:rPr>
                <w:sz w:val="22"/>
                <w:szCs w:val="22"/>
              </w:rPr>
              <w:t>– sent via email</w:t>
            </w:r>
            <w:r w:rsidR="00FE381B">
              <w:rPr>
                <w:sz w:val="22"/>
                <w:szCs w:val="22"/>
              </w:rPr>
              <w:t xml:space="preserve"> </w:t>
            </w:r>
            <w:r w:rsidR="00E400AE">
              <w:rPr>
                <w:sz w:val="22"/>
                <w:szCs w:val="22"/>
              </w:rPr>
              <w:t>- o</w:t>
            </w:r>
            <w:r w:rsidR="00E400AE" w:rsidRPr="00E400AE">
              <w:rPr>
                <w:sz w:val="22"/>
                <w:szCs w:val="22"/>
              </w:rPr>
              <w:t>ne item of note in the report</w:t>
            </w:r>
            <w:r w:rsidR="00E400AE">
              <w:rPr>
                <w:sz w:val="22"/>
                <w:szCs w:val="22"/>
              </w:rPr>
              <w:t>:</w:t>
            </w:r>
          </w:p>
          <w:p w14:paraId="169B1860" w14:textId="2497A2E2" w:rsidR="00E400AE" w:rsidRPr="009F0A77" w:rsidRDefault="00E400AE" w:rsidP="009F0A77">
            <w:pPr>
              <w:pStyle w:val="MediumGrid1-Accent21"/>
              <w:numPr>
                <w:ilvl w:val="0"/>
                <w:numId w:val="38"/>
              </w:numPr>
              <w:ind w:left="1313"/>
              <w:rPr>
                <w:sz w:val="22"/>
              </w:rPr>
            </w:pPr>
            <w:r w:rsidRPr="00726C9C">
              <w:rPr>
                <w:sz w:val="22"/>
              </w:rPr>
              <w:t>CVEP/NEPP Update</w:t>
            </w:r>
            <w:r>
              <w:rPr>
                <w:sz w:val="22"/>
              </w:rPr>
              <w:t>:</w:t>
            </w:r>
            <w:r w:rsidR="009F0A77">
              <w:rPr>
                <w:sz w:val="22"/>
              </w:rPr>
              <w:t xml:space="preserve"> </w:t>
            </w:r>
            <w:r w:rsidRPr="009F0A77">
              <w:rPr>
                <w:color w:val="000000"/>
                <w:sz w:val="22"/>
              </w:rPr>
              <w:t>Dyke Road emergency egress route has deteriorated to the point that vehicle traffic in the event of an emergency would not be safely possible; e</w:t>
            </w:r>
            <w:r w:rsidRPr="009F0A77">
              <w:rPr>
                <w:color w:val="000000"/>
                <w:sz w:val="22"/>
                <w:szCs w:val="22"/>
              </w:rPr>
              <w:t>mergency evacuation plan will be updated to reflect either pedestrian, ATV or UTV usage only</w:t>
            </w:r>
            <w:r w:rsidR="009F0A77" w:rsidRPr="009F0A77">
              <w:rPr>
                <w:color w:val="000000"/>
                <w:sz w:val="22"/>
                <w:szCs w:val="22"/>
              </w:rPr>
              <w:t>; t</w:t>
            </w:r>
            <w:r w:rsidR="00DD00E9" w:rsidRPr="009F0A77">
              <w:rPr>
                <w:color w:val="000000"/>
                <w:sz w:val="22"/>
                <w:szCs w:val="22"/>
              </w:rPr>
              <w:t xml:space="preserve">his is a </w:t>
            </w:r>
            <w:proofErr w:type="spellStart"/>
            <w:r w:rsidR="00DD00E9" w:rsidRPr="009F0A77">
              <w:rPr>
                <w:color w:val="000000"/>
                <w:sz w:val="22"/>
                <w:szCs w:val="22"/>
              </w:rPr>
              <w:t>gazzetted</w:t>
            </w:r>
            <w:proofErr w:type="spellEnd"/>
            <w:r w:rsidR="00DD00E9" w:rsidRPr="009F0A77">
              <w:rPr>
                <w:color w:val="000000"/>
                <w:sz w:val="22"/>
                <w:szCs w:val="22"/>
              </w:rPr>
              <w:t xml:space="preserve"> road that has no funding to maintain. </w:t>
            </w:r>
          </w:p>
          <w:p w14:paraId="5702DD7C" w14:textId="77777777" w:rsidR="00E55EC3" w:rsidRPr="00AC2297" w:rsidRDefault="00E55EC3" w:rsidP="00E400AE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23F7CA3F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74169173" w14:textId="77777777" w:rsidR="006A4254" w:rsidRDefault="00B34A24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Hoffart</w:t>
            </w:r>
          </w:p>
          <w:p w14:paraId="20D6DC52" w14:textId="77777777" w:rsidR="001F2F8C" w:rsidRDefault="001F2F8C" w:rsidP="00CE5DC3">
            <w:pPr>
              <w:rPr>
                <w:sz w:val="22"/>
                <w:szCs w:val="22"/>
              </w:rPr>
            </w:pPr>
          </w:p>
          <w:p w14:paraId="6DCEECDC" w14:textId="77777777" w:rsidR="001F2F8C" w:rsidRPr="00AC2297" w:rsidRDefault="001F2F8C" w:rsidP="00CE5DC3">
            <w:pPr>
              <w:rPr>
                <w:sz w:val="22"/>
                <w:szCs w:val="22"/>
              </w:rPr>
            </w:pPr>
          </w:p>
        </w:tc>
      </w:tr>
      <w:tr w:rsidR="00F84C6F" w:rsidRPr="00AC2297" w14:paraId="45A92E5C" w14:textId="77777777" w:rsidTr="0073350E">
        <w:trPr>
          <w:trHeight w:val="1440"/>
        </w:trPr>
        <w:tc>
          <w:tcPr>
            <w:tcW w:w="1778" w:type="dxa"/>
          </w:tcPr>
          <w:p w14:paraId="5A70C22A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32D5B367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Business Arising from the Minutes</w:t>
            </w:r>
          </w:p>
        </w:tc>
        <w:tc>
          <w:tcPr>
            <w:tcW w:w="5956" w:type="dxa"/>
          </w:tcPr>
          <w:p w14:paraId="4B5050B5" w14:textId="77777777" w:rsidR="00A276FE" w:rsidRPr="00A276FE" w:rsidRDefault="00A276FE" w:rsidP="00A276FE">
            <w:pPr>
              <w:rPr>
                <w:sz w:val="22"/>
                <w:szCs w:val="22"/>
              </w:rPr>
            </w:pPr>
          </w:p>
          <w:p w14:paraId="633504DF" w14:textId="77777777" w:rsidR="009013E9" w:rsidRPr="009013E9" w:rsidRDefault="009013E9" w:rsidP="00F0180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0408C60B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5FA23E1B" w14:textId="77777777" w:rsidR="00A738C9" w:rsidRDefault="00A738C9" w:rsidP="003C7355">
            <w:pPr>
              <w:rPr>
                <w:sz w:val="22"/>
                <w:szCs w:val="22"/>
              </w:rPr>
            </w:pPr>
          </w:p>
          <w:p w14:paraId="6E356ECB" w14:textId="77777777" w:rsidR="00B34A24" w:rsidRDefault="00B34A24" w:rsidP="003C7355">
            <w:pPr>
              <w:rPr>
                <w:sz w:val="22"/>
                <w:szCs w:val="22"/>
              </w:rPr>
            </w:pPr>
          </w:p>
          <w:p w14:paraId="12E84B8C" w14:textId="77777777" w:rsidR="00DE3172" w:rsidRDefault="00DE3172" w:rsidP="003C7355">
            <w:pPr>
              <w:rPr>
                <w:sz w:val="22"/>
                <w:szCs w:val="22"/>
              </w:rPr>
            </w:pPr>
          </w:p>
          <w:p w14:paraId="74A6FF9D" w14:textId="77777777" w:rsidR="00DE3172" w:rsidRPr="00372890" w:rsidRDefault="00DE3172" w:rsidP="003C7355">
            <w:pPr>
              <w:rPr>
                <w:sz w:val="22"/>
                <w:szCs w:val="22"/>
              </w:rPr>
            </w:pPr>
          </w:p>
        </w:tc>
      </w:tr>
      <w:tr w:rsidR="00F84C6F" w:rsidRPr="00AC2297" w14:paraId="7B9C8682" w14:textId="77777777" w:rsidTr="0073350E">
        <w:trPr>
          <w:trHeight w:val="1440"/>
        </w:trPr>
        <w:tc>
          <w:tcPr>
            <w:tcW w:w="1778" w:type="dxa"/>
          </w:tcPr>
          <w:p w14:paraId="066450DF" w14:textId="77777777" w:rsidR="00823E99" w:rsidRDefault="00823E99" w:rsidP="00CE5DC3">
            <w:pPr>
              <w:rPr>
                <w:sz w:val="22"/>
                <w:szCs w:val="22"/>
              </w:rPr>
            </w:pPr>
          </w:p>
          <w:p w14:paraId="517F3F7F" w14:textId="77777777" w:rsidR="00823E99" w:rsidRPr="00AC2297" w:rsidRDefault="00823E99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Business</w:t>
            </w:r>
          </w:p>
        </w:tc>
        <w:tc>
          <w:tcPr>
            <w:tcW w:w="5956" w:type="dxa"/>
          </w:tcPr>
          <w:p w14:paraId="19B3C5BA" w14:textId="77777777" w:rsidR="00823E99" w:rsidRDefault="00823E99" w:rsidP="001E61B8">
            <w:pPr>
              <w:rPr>
                <w:sz w:val="22"/>
                <w:szCs w:val="22"/>
              </w:rPr>
            </w:pPr>
          </w:p>
          <w:p w14:paraId="20B53B33" w14:textId="77777777" w:rsidR="00A94CA6" w:rsidRPr="00EC7083" w:rsidRDefault="00154C07" w:rsidP="009D758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Celebrate Your </w:t>
            </w:r>
            <w:r w:rsidR="00383581">
              <w:rPr>
                <w:sz w:val="22"/>
                <w:szCs w:val="22"/>
              </w:rPr>
              <w:t xml:space="preserve">Community event </w:t>
            </w:r>
            <w:proofErr w:type="spellStart"/>
            <w:r w:rsidR="00383581">
              <w:rPr>
                <w:sz w:val="22"/>
                <w:szCs w:val="22"/>
              </w:rPr>
              <w:t>fka</w:t>
            </w:r>
            <w:proofErr w:type="spellEnd"/>
            <w:r w:rsidR="00383581">
              <w:rPr>
                <w:sz w:val="22"/>
                <w:szCs w:val="22"/>
              </w:rPr>
              <w:t xml:space="preserve"> Meet your </w:t>
            </w:r>
            <w:proofErr w:type="spellStart"/>
            <w:r w:rsidR="00383581">
              <w:rPr>
                <w:sz w:val="22"/>
                <w:szCs w:val="22"/>
              </w:rPr>
              <w:t>Neig</w:t>
            </w:r>
            <w:r>
              <w:rPr>
                <w:sz w:val="22"/>
                <w:szCs w:val="22"/>
              </w:rPr>
              <w:t>h</w:t>
            </w:r>
            <w:r w:rsidR="00383581">
              <w:rPr>
                <w:sz w:val="22"/>
                <w:szCs w:val="22"/>
              </w:rPr>
              <w:t>bour</w:t>
            </w:r>
            <w:proofErr w:type="spellEnd"/>
            <w:r w:rsidR="00DD00E9">
              <w:rPr>
                <w:sz w:val="22"/>
                <w:szCs w:val="22"/>
              </w:rPr>
              <w:t xml:space="preserve"> – Fire Dept is participating.</w:t>
            </w:r>
          </w:p>
        </w:tc>
        <w:tc>
          <w:tcPr>
            <w:tcW w:w="1536" w:type="dxa"/>
          </w:tcPr>
          <w:p w14:paraId="63ACEA11" w14:textId="77777777" w:rsidR="00B32224" w:rsidRPr="001C31EB" w:rsidRDefault="00B32224" w:rsidP="00A94CA6">
            <w:pPr>
              <w:rPr>
                <w:sz w:val="22"/>
                <w:szCs w:val="22"/>
              </w:rPr>
            </w:pPr>
          </w:p>
        </w:tc>
      </w:tr>
      <w:tr w:rsidR="00F84C6F" w:rsidRPr="00AC2297" w14:paraId="0630206C" w14:textId="77777777" w:rsidTr="0073350E">
        <w:trPr>
          <w:trHeight w:val="1440"/>
        </w:trPr>
        <w:tc>
          <w:tcPr>
            <w:tcW w:w="1778" w:type="dxa"/>
          </w:tcPr>
          <w:p w14:paraId="3EE11E7D" w14:textId="77777777" w:rsidR="00912CCC" w:rsidRDefault="00912CCC" w:rsidP="00CE5DC3">
            <w:pPr>
              <w:rPr>
                <w:sz w:val="22"/>
                <w:szCs w:val="22"/>
              </w:rPr>
            </w:pPr>
          </w:p>
          <w:p w14:paraId="5D5B8596" w14:textId="77777777" w:rsidR="00912CCC" w:rsidRDefault="00912CCC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Camera</w:t>
            </w:r>
          </w:p>
        </w:tc>
        <w:tc>
          <w:tcPr>
            <w:tcW w:w="5956" w:type="dxa"/>
          </w:tcPr>
          <w:p w14:paraId="1B20C614" w14:textId="77777777" w:rsidR="00912CCC" w:rsidRDefault="00912CCC" w:rsidP="00EC7083">
            <w:pPr>
              <w:rPr>
                <w:sz w:val="22"/>
                <w:szCs w:val="22"/>
              </w:rPr>
            </w:pPr>
          </w:p>
          <w:p w14:paraId="535BA709" w14:textId="77777777" w:rsidR="005B056C" w:rsidRDefault="005B056C" w:rsidP="00EC7083">
            <w:pPr>
              <w:rPr>
                <w:sz w:val="22"/>
                <w:szCs w:val="22"/>
              </w:rPr>
            </w:pPr>
          </w:p>
          <w:p w14:paraId="7E23DFD4" w14:textId="77777777" w:rsidR="005B056C" w:rsidRPr="00EC7083" w:rsidRDefault="005B056C" w:rsidP="00EC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536" w:type="dxa"/>
          </w:tcPr>
          <w:p w14:paraId="414EC6DF" w14:textId="77777777" w:rsidR="00912CCC" w:rsidRDefault="00912CCC" w:rsidP="00AA756F">
            <w:pPr>
              <w:rPr>
                <w:sz w:val="22"/>
                <w:szCs w:val="22"/>
              </w:rPr>
            </w:pPr>
          </w:p>
        </w:tc>
      </w:tr>
      <w:tr w:rsidR="00F84C6F" w:rsidRPr="00AC2297" w14:paraId="53E94209" w14:textId="77777777" w:rsidTr="0073350E">
        <w:trPr>
          <w:trHeight w:val="1440"/>
        </w:trPr>
        <w:tc>
          <w:tcPr>
            <w:tcW w:w="1778" w:type="dxa"/>
          </w:tcPr>
          <w:p w14:paraId="7F5886AE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0233AAF0" w14:textId="77777777" w:rsidR="00AC2297" w:rsidRDefault="00AC22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5956" w:type="dxa"/>
          </w:tcPr>
          <w:p w14:paraId="1331780E" w14:textId="77777777" w:rsidR="00AC2297" w:rsidRDefault="00AC2297" w:rsidP="001E61B8">
            <w:pPr>
              <w:rPr>
                <w:sz w:val="22"/>
                <w:szCs w:val="22"/>
              </w:rPr>
            </w:pPr>
          </w:p>
          <w:p w14:paraId="6BD773C6" w14:textId="1D9B3350" w:rsidR="00AC2297" w:rsidRPr="00AC2297" w:rsidRDefault="00AC2297" w:rsidP="00912CC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to adjourn</w:t>
            </w:r>
            <w:r w:rsidR="00DD00E9">
              <w:rPr>
                <w:sz w:val="22"/>
                <w:szCs w:val="22"/>
              </w:rPr>
              <w:t xml:space="preserve"> M. </w:t>
            </w:r>
            <w:proofErr w:type="spellStart"/>
            <w:r w:rsidR="00DD00E9">
              <w:rPr>
                <w:sz w:val="22"/>
                <w:szCs w:val="22"/>
              </w:rPr>
              <w:t>Fa</w:t>
            </w:r>
            <w:r w:rsidR="009F0A77">
              <w:rPr>
                <w:sz w:val="22"/>
                <w:szCs w:val="22"/>
              </w:rPr>
              <w:t>kar</w:t>
            </w:r>
            <w:r w:rsidR="00DD00E9">
              <w:rPr>
                <w:sz w:val="22"/>
                <w:szCs w:val="22"/>
              </w:rPr>
              <w:t>o</w:t>
            </w:r>
            <w:proofErr w:type="spellEnd"/>
            <w:r w:rsidR="00DD00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</w:tcPr>
          <w:p w14:paraId="438156BC" w14:textId="77777777" w:rsidR="00AC2297" w:rsidRPr="00AC2297" w:rsidRDefault="00AC2297" w:rsidP="00CE5DC3">
            <w:pPr>
              <w:rPr>
                <w:sz w:val="22"/>
                <w:szCs w:val="22"/>
              </w:rPr>
            </w:pPr>
          </w:p>
        </w:tc>
      </w:tr>
    </w:tbl>
    <w:p w14:paraId="36974802" w14:textId="77777777" w:rsidR="00CE5DC3" w:rsidRPr="00AC2297" w:rsidRDefault="00CE5DC3"/>
    <w:sectPr w:rsidR="00CE5DC3" w:rsidRPr="00AC2297" w:rsidSect="009D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1797" w:bottom="79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DDF3" w14:textId="77777777" w:rsidR="00B57638" w:rsidRDefault="00B57638" w:rsidP="00CE5DC3">
      <w:r>
        <w:separator/>
      </w:r>
    </w:p>
  </w:endnote>
  <w:endnote w:type="continuationSeparator" w:id="0">
    <w:p w14:paraId="5C2CDFAB" w14:textId="77777777" w:rsidR="00B57638" w:rsidRDefault="00B57638" w:rsidP="00C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B311" w14:textId="77777777" w:rsidR="003F6EB7" w:rsidRDefault="003F6EB7" w:rsidP="00CE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739D8" w14:textId="77777777" w:rsidR="003F6EB7" w:rsidRDefault="003F6EB7" w:rsidP="00CE5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95B1" w14:textId="77777777" w:rsidR="003F6EB7" w:rsidRDefault="003F6EB7" w:rsidP="00CE5D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E48C" w14:textId="77777777" w:rsidR="007469A3" w:rsidRDefault="0074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97A6" w14:textId="77777777" w:rsidR="00B57638" w:rsidRDefault="00B57638" w:rsidP="00CE5DC3">
      <w:r>
        <w:separator/>
      </w:r>
    </w:p>
  </w:footnote>
  <w:footnote w:type="continuationSeparator" w:id="0">
    <w:p w14:paraId="65478635" w14:textId="77777777" w:rsidR="00B57638" w:rsidRDefault="00B57638" w:rsidP="00CE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BA05" w14:textId="77777777" w:rsidR="007469A3" w:rsidRDefault="0074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583105"/>
      <w:docPartObj>
        <w:docPartGallery w:val="Watermarks"/>
        <w:docPartUnique/>
      </w:docPartObj>
    </w:sdtPr>
    <w:sdtEndPr/>
    <w:sdtContent>
      <w:p w14:paraId="690A754B" w14:textId="77777777" w:rsidR="007469A3" w:rsidRDefault="00B57638">
        <w:pPr>
          <w:pStyle w:val="Header"/>
        </w:pPr>
        <w:r>
          <w:rPr>
            <w:noProof/>
          </w:rPr>
          <w:pict w14:anchorId="5113E7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11AE" w14:textId="77777777" w:rsidR="007469A3" w:rsidRDefault="0074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F4B"/>
    <w:multiLevelType w:val="hybridMultilevel"/>
    <w:tmpl w:val="096CBFB4"/>
    <w:lvl w:ilvl="0" w:tplc="0409000B">
      <w:start w:val="1"/>
      <w:numFmt w:val="bullet"/>
      <w:lvlText w:val="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 w15:restartNumberingAfterBreak="0">
    <w:nsid w:val="05C21138"/>
    <w:multiLevelType w:val="hybridMultilevel"/>
    <w:tmpl w:val="AD6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537"/>
    <w:multiLevelType w:val="hybridMultilevel"/>
    <w:tmpl w:val="9590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F7108"/>
    <w:multiLevelType w:val="hybridMultilevel"/>
    <w:tmpl w:val="26668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4541"/>
    <w:multiLevelType w:val="multilevel"/>
    <w:tmpl w:val="AD66AA6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1276"/>
    <w:multiLevelType w:val="hybridMultilevel"/>
    <w:tmpl w:val="E7C8A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82E11"/>
    <w:multiLevelType w:val="hybridMultilevel"/>
    <w:tmpl w:val="F740E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451F"/>
    <w:multiLevelType w:val="hybridMultilevel"/>
    <w:tmpl w:val="10EA5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672CA"/>
    <w:multiLevelType w:val="multilevel"/>
    <w:tmpl w:val="E7C8A0A0"/>
    <w:styleLink w:val="CurrentList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02F25"/>
    <w:multiLevelType w:val="hybridMultilevel"/>
    <w:tmpl w:val="9E76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3607C"/>
    <w:multiLevelType w:val="hybridMultilevel"/>
    <w:tmpl w:val="5C80F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825E4"/>
    <w:multiLevelType w:val="hybridMultilevel"/>
    <w:tmpl w:val="D534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01518"/>
    <w:multiLevelType w:val="hybridMultilevel"/>
    <w:tmpl w:val="DC182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36966"/>
    <w:multiLevelType w:val="multilevel"/>
    <w:tmpl w:val="EFC6004A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B49F0"/>
    <w:multiLevelType w:val="multilevel"/>
    <w:tmpl w:val="D0C4AC42"/>
    <w:styleLink w:val="CurrentList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E5AA5"/>
    <w:multiLevelType w:val="hybridMultilevel"/>
    <w:tmpl w:val="5F2C6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A4D8C"/>
    <w:multiLevelType w:val="multilevel"/>
    <w:tmpl w:val="008AE972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C3EDA"/>
    <w:multiLevelType w:val="multilevel"/>
    <w:tmpl w:val="0FC07990"/>
    <w:styleLink w:val="CurrentList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0709E"/>
    <w:multiLevelType w:val="hybridMultilevel"/>
    <w:tmpl w:val="4E2E98F2"/>
    <w:lvl w:ilvl="0" w:tplc="04090005">
      <w:start w:val="1"/>
      <w:numFmt w:val="bullet"/>
      <w:lvlText w:val="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9" w15:restartNumberingAfterBreak="0">
    <w:nsid w:val="49B5749F"/>
    <w:multiLevelType w:val="hybridMultilevel"/>
    <w:tmpl w:val="70804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A23D6"/>
    <w:multiLevelType w:val="hybridMultilevel"/>
    <w:tmpl w:val="C324F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BE605B"/>
    <w:multiLevelType w:val="hybridMultilevel"/>
    <w:tmpl w:val="7D0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F6937"/>
    <w:multiLevelType w:val="hybridMultilevel"/>
    <w:tmpl w:val="9F10A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D14E6"/>
    <w:multiLevelType w:val="hybridMultilevel"/>
    <w:tmpl w:val="034CF85E"/>
    <w:lvl w:ilvl="0" w:tplc="04090005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4" w15:restartNumberingAfterBreak="0">
    <w:nsid w:val="4FAB1FF7"/>
    <w:multiLevelType w:val="hybridMultilevel"/>
    <w:tmpl w:val="EFC6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D7CB3"/>
    <w:multiLevelType w:val="hybridMultilevel"/>
    <w:tmpl w:val="34F64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211DC"/>
    <w:multiLevelType w:val="hybridMultilevel"/>
    <w:tmpl w:val="9848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D4917"/>
    <w:multiLevelType w:val="hybridMultilevel"/>
    <w:tmpl w:val="6B32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93174"/>
    <w:multiLevelType w:val="hybridMultilevel"/>
    <w:tmpl w:val="B3462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D3AD3"/>
    <w:multiLevelType w:val="multilevel"/>
    <w:tmpl w:val="148A3FEC"/>
    <w:styleLink w:val="CurrentList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51A37"/>
    <w:multiLevelType w:val="hybridMultilevel"/>
    <w:tmpl w:val="E6A87BCE"/>
    <w:lvl w:ilvl="0" w:tplc="37ECE31C"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7ECE31C"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A9F19F1"/>
    <w:multiLevelType w:val="multilevel"/>
    <w:tmpl w:val="B7C457B2"/>
    <w:styleLink w:val="CurrentList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E3BF2"/>
    <w:multiLevelType w:val="hybridMultilevel"/>
    <w:tmpl w:val="D2A45986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3" w15:restartNumberingAfterBreak="0">
    <w:nsid w:val="6AFE4EC9"/>
    <w:multiLevelType w:val="hybridMultilevel"/>
    <w:tmpl w:val="8E8E7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A2E7A"/>
    <w:multiLevelType w:val="hybridMultilevel"/>
    <w:tmpl w:val="7640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62B7A"/>
    <w:multiLevelType w:val="hybridMultilevel"/>
    <w:tmpl w:val="50703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547A9"/>
    <w:multiLevelType w:val="hybridMultilevel"/>
    <w:tmpl w:val="38F2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602E5"/>
    <w:multiLevelType w:val="hybridMultilevel"/>
    <w:tmpl w:val="970E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D3A6F"/>
    <w:multiLevelType w:val="hybridMultilevel"/>
    <w:tmpl w:val="87C87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0965C6"/>
    <w:multiLevelType w:val="hybridMultilevel"/>
    <w:tmpl w:val="2EFAAD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A8172F"/>
    <w:multiLevelType w:val="multilevel"/>
    <w:tmpl w:val="87C87690"/>
    <w:styleLink w:val="CurrentList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8230156">
    <w:abstractNumId w:val="35"/>
  </w:num>
  <w:num w:numId="2" w16cid:durableId="108552837">
    <w:abstractNumId w:val="22"/>
  </w:num>
  <w:num w:numId="3" w16cid:durableId="717163010">
    <w:abstractNumId w:val="11"/>
  </w:num>
  <w:num w:numId="4" w16cid:durableId="1187597251">
    <w:abstractNumId w:val="26"/>
  </w:num>
  <w:num w:numId="5" w16cid:durableId="236676291">
    <w:abstractNumId w:val="21"/>
  </w:num>
  <w:num w:numId="6" w16cid:durableId="779372575">
    <w:abstractNumId w:val="23"/>
  </w:num>
  <w:num w:numId="7" w16cid:durableId="968512762">
    <w:abstractNumId w:val="15"/>
  </w:num>
  <w:num w:numId="8" w16cid:durableId="930890444">
    <w:abstractNumId w:val="39"/>
  </w:num>
  <w:num w:numId="9" w16cid:durableId="25451849">
    <w:abstractNumId w:val="18"/>
  </w:num>
  <w:num w:numId="10" w16cid:durableId="1563515906">
    <w:abstractNumId w:val="2"/>
  </w:num>
  <w:num w:numId="11" w16cid:durableId="245891104">
    <w:abstractNumId w:val="0"/>
  </w:num>
  <w:num w:numId="12" w16cid:durableId="1722751826">
    <w:abstractNumId w:val="33"/>
  </w:num>
  <w:num w:numId="13" w16cid:durableId="562954764">
    <w:abstractNumId w:val="25"/>
  </w:num>
  <w:num w:numId="14" w16cid:durableId="60912141">
    <w:abstractNumId w:val="1"/>
  </w:num>
  <w:num w:numId="15" w16cid:durableId="1945377367">
    <w:abstractNumId w:val="4"/>
  </w:num>
  <w:num w:numId="16" w16cid:durableId="501775212">
    <w:abstractNumId w:val="10"/>
  </w:num>
  <w:num w:numId="17" w16cid:durableId="76756727">
    <w:abstractNumId w:val="31"/>
  </w:num>
  <w:num w:numId="18" w16cid:durableId="978069730">
    <w:abstractNumId w:val="28"/>
  </w:num>
  <w:num w:numId="19" w16cid:durableId="832798621">
    <w:abstractNumId w:val="17"/>
  </w:num>
  <w:num w:numId="20" w16cid:durableId="1571378352">
    <w:abstractNumId w:val="37"/>
  </w:num>
  <w:num w:numId="21" w16cid:durableId="1664166113">
    <w:abstractNumId w:val="24"/>
  </w:num>
  <w:num w:numId="22" w16cid:durableId="290210155">
    <w:abstractNumId w:val="13"/>
  </w:num>
  <w:num w:numId="23" w16cid:durableId="1286497588">
    <w:abstractNumId w:val="19"/>
  </w:num>
  <w:num w:numId="24" w16cid:durableId="83651115">
    <w:abstractNumId w:val="7"/>
  </w:num>
  <w:num w:numId="25" w16cid:durableId="1719475043">
    <w:abstractNumId w:val="38"/>
  </w:num>
  <w:num w:numId="26" w16cid:durableId="576405707">
    <w:abstractNumId w:val="40"/>
  </w:num>
  <w:num w:numId="27" w16cid:durableId="600340735">
    <w:abstractNumId w:val="12"/>
  </w:num>
  <w:num w:numId="28" w16cid:durableId="1559583514">
    <w:abstractNumId w:val="9"/>
  </w:num>
  <w:num w:numId="29" w16cid:durableId="1249459789">
    <w:abstractNumId w:val="27"/>
  </w:num>
  <w:num w:numId="30" w16cid:durableId="404764924">
    <w:abstractNumId w:val="3"/>
  </w:num>
  <w:num w:numId="31" w16cid:durableId="1228372942">
    <w:abstractNumId w:val="16"/>
  </w:num>
  <w:num w:numId="32" w16cid:durableId="640112175">
    <w:abstractNumId w:val="30"/>
  </w:num>
  <w:num w:numId="33" w16cid:durableId="1244681284">
    <w:abstractNumId w:val="32"/>
  </w:num>
  <w:num w:numId="34" w16cid:durableId="1093352816">
    <w:abstractNumId w:val="14"/>
  </w:num>
  <w:num w:numId="35" w16cid:durableId="1431388868">
    <w:abstractNumId w:val="36"/>
  </w:num>
  <w:num w:numId="36" w16cid:durableId="148987009">
    <w:abstractNumId w:val="6"/>
  </w:num>
  <w:num w:numId="37" w16cid:durableId="1799176653">
    <w:abstractNumId w:val="29"/>
  </w:num>
  <w:num w:numId="38" w16cid:durableId="493303907">
    <w:abstractNumId w:val="34"/>
  </w:num>
  <w:num w:numId="39" w16cid:durableId="1148979667">
    <w:abstractNumId w:val="5"/>
  </w:num>
  <w:num w:numId="40" w16cid:durableId="1884518017">
    <w:abstractNumId w:val="8"/>
  </w:num>
  <w:num w:numId="41" w16cid:durableId="199316854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C3"/>
    <w:rsid w:val="00000584"/>
    <w:rsid w:val="00001098"/>
    <w:rsid w:val="00002948"/>
    <w:rsid w:val="00003145"/>
    <w:rsid w:val="000178FD"/>
    <w:rsid w:val="00020C25"/>
    <w:rsid w:val="000428EF"/>
    <w:rsid w:val="00045810"/>
    <w:rsid w:val="00055A79"/>
    <w:rsid w:val="000612E5"/>
    <w:rsid w:val="000743E0"/>
    <w:rsid w:val="0007780B"/>
    <w:rsid w:val="00083A36"/>
    <w:rsid w:val="00087A63"/>
    <w:rsid w:val="00091732"/>
    <w:rsid w:val="00092BA4"/>
    <w:rsid w:val="000940B7"/>
    <w:rsid w:val="0009600C"/>
    <w:rsid w:val="00097A0A"/>
    <w:rsid w:val="000A19DE"/>
    <w:rsid w:val="000A4A32"/>
    <w:rsid w:val="000A4E76"/>
    <w:rsid w:val="000B3A95"/>
    <w:rsid w:val="000C3907"/>
    <w:rsid w:val="000C560D"/>
    <w:rsid w:val="000D2680"/>
    <w:rsid w:val="000E0532"/>
    <w:rsid w:val="000E65D3"/>
    <w:rsid w:val="000F1CE0"/>
    <w:rsid w:val="00100795"/>
    <w:rsid w:val="00100D8E"/>
    <w:rsid w:val="00114550"/>
    <w:rsid w:val="00120C6E"/>
    <w:rsid w:val="00123529"/>
    <w:rsid w:val="00123764"/>
    <w:rsid w:val="00125472"/>
    <w:rsid w:val="00126631"/>
    <w:rsid w:val="00132BFC"/>
    <w:rsid w:val="00135E7C"/>
    <w:rsid w:val="0013746F"/>
    <w:rsid w:val="00147585"/>
    <w:rsid w:val="00154498"/>
    <w:rsid w:val="00154C07"/>
    <w:rsid w:val="00163278"/>
    <w:rsid w:val="00163BA0"/>
    <w:rsid w:val="001666E8"/>
    <w:rsid w:val="001754C1"/>
    <w:rsid w:val="001761BD"/>
    <w:rsid w:val="001778F3"/>
    <w:rsid w:val="001842B8"/>
    <w:rsid w:val="0018689A"/>
    <w:rsid w:val="00190ECD"/>
    <w:rsid w:val="0019158B"/>
    <w:rsid w:val="00191F2A"/>
    <w:rsid w:val="00194A93"/>
    <w:rsid w:val="00195696"/>
    <w:rsid w:val="001971BC"/>
    <w:rsid w:val="001A0BAB"/>
    <w:rsid w:val="001A1213"/>
    <w:rsid w:val="001A4528"/>
    <w:rsid w:val="001B2868"/>
    <w:rsid w:val="001B65DB"/>
    <w:rsid w:val="001C31EB"/>
    <w:rsid w:val="001C6DDF"/>
    <w:rsid w:val="001D095D"/>
    <w:rsid w:val="001E15F8"/>
    <w:rsid w:val="001E61B8"/>
    <w:rsid w:val="001F2F8C"/>
    <w:rsid w:val="001F4DC5"/>
    <w:rsid w:val="001F7CAA"/>
    <w:rsid w:val="00202B08"/>
    <w:rsid w:val="00205F99"/>
    <w:rsid w:val="00217E71"/>
    <w:rsid w:val="0022571D"/>
    <w:rsid w:val="0023272C"/>
    <w:rsid w:val="00235891"/>
    <w:rsid w:val="00237997"/>
    <w:rsid w:val="0024001A"/>
    <w:rsid w:val="00247E2E"/>
    <w:rsid w:val="002575F3"/>
    <w:rsid w:val="00261382"/>
    <w:rsid w:val="00261683"/>
    <w:rsid w:val="0026436A"/>
    <w:rsid w:val="00270D22"/>
    <w:rsid w:val="00272741"/>
    <w:rsid w:val="002728FD"/>
    <w:rsid w:val="002778B3"/>
    <w:rsid w:val="00284BE5"/>
    <w:rsid w:val="0028740D"/>
    <w:rsid w:val="0029020D"/>
    <w:rsid w:val="002A1355"/>
    <w:rsid w:val="002A6FF0"/>
    <w:rsid w:val="002B472F"/>
    <w:rsid w:val="002B762E"/>
    <w:rsid w:val="002D1553"/>
    <w:rsid w:val="002D1808"/>
    <w:rsid w:val="002D26E8"/>
    <w:rsid w:val="002D2AF0"/>
    <w:rsid w:val="002D2CE0"/>
    <w:rsid w:val="002D3D39"/>
    <w:rsid w:val="002D59E5"/>
    <w:rsid w:val="002D5E6B"/>
    <w:rsid w:val="002E0028"/>
    <w:rsid w:val="002E3ADD"/>
    <w:rsid w:val="002F2590"/>
    <w:rsid w:val="002F5015"/>
    <w:rsid w:val="002F55E9"/>
    <w:rsid w:val="002F636A"/>
    <w:rsid w:val="0030337B"/>
    <w:rsid w:val="00311E59"/>
    <w:rsid w:val="003125E5"/>
    <w:rsid w:val="003167B8"/>
    <w:rsid w:val="00316B0E"/>
    <w:rsid w:val="00324D30"/>
    <w:rsid w:val="00324FE9"/>
    <w:rsid w:val="00330DCF"/>
    <w:rsid w:val="00330F14"/>
    <w:rsid w:val="003317EF"/>
    <w:rsid w:val="00331C84"/>
    <w:rsid w:val="0033490A"/>
    <w:rsid w:val="00334E0C"/>
    <w:rsid w:val="00335DEE"/>
    <w:rsid w:val="00336A5C"/>
    <w:rsid w:val="00340FD3"/>
    <w:rsid w:val="003479F2"/>
    <w:rsid w:val="003578C6"/>
    <w:rsid w:val="0036425E"/>
    <w:rsid w:val="00367BBF"/>
    <w:rsid w:val="003725B7"/>
    <w:rsid w:val="00372890"/>
    <w:rsid w:val="00382B20"/>
    <w:rsid w:val="00383581"/>
    <w:rsid w:val="00384CD7"/>
    <w:rsid w:val="00386343"/>
    <w:rsid w:val="00387555"/>
    <w:rsid w:val="0039385F"/>
    <w:rsid w:val="003938AA"/>
    <w:rsid w:val="00396560"/>
    <w:rsid w:val="00397DCA"/>
    <w:rsid w:val="003A12B5"/>
    <w:rsid w:val="003A1F7F"/>
    <w:rsid w:val="003A2488"/>
    <w:rsid w:val="003A305A"/>
    <w:rsid w:val="003A78A3"/>
    <w:rsid w:val="003B0659"/>
    <w:rsid w:val="003C070F"/>
    <w:rsid w:val="003C15BF"/>
    <w:rsid w:val="003C70BC"/>
    <w:rsid w:val="003C7355"/>
    <w:rsid w:val="003C7628"/>
    <w:rsid w:val="003D160F"/>
    <w:rsid w:val="003D39C6"/>
    <w:rsid w:val="003E366A"/>
    <w:rsid w:val="003E6344"/>
    <w:rsid w:val="003F3668"/>
    <w:rsid w:val="003F3FC0"/>
    <w:rsid w:val="003F5D9C"/>
    <w:rsid w:val="003F5E9C"/>
    <w:rsid w:val="003F6EB7"/>
    <w:rsid w:val="00401FF1"/>
    <w:rsid w:val="00403536"/>
    <w:rsid w:val="0040683C"/>
    <w:rsid w:val="0041279A"/>
    <w:rsid w:val="004216EB"/>
    <w:rsid w:val="00431EF1"/>
    <w:rsid w:val="0043541E"/>
    <w:rsid w:val="00441BB4"/>
    <w:rsid w:val="004442A1"/>
    <w:rsid w:val="00445067"/>
    <w:rsid w:val="0045235B"/>
    <w:rsid w:val="004529BD"/>
    <w:rsid w:val="004619B9"/>
    <w:rsid w:val="004650D4"/>
    <w:rsid w:val="004653E6"/>
    <w:rsid w:val="0046654A"/>
    <w:rsid w:val="0046795F"/>
    <w:rsid w:val="00470DAC"/>
    <w:rsid w:val="00481948"/>
    <w:rsid w:val="00482FF1"/>
    <w:rsid w:val="0048466F"/>
    <w:rsid w:val="00491A51"/>
    <w:rsid w:val="00492791"/>
    <w:rsid w:val="00492D34"/>
    <w:rsid w:val="004A0E29"/>
    <w:rsid w:val="004A2385"/>
    <w:rsid w:val="004C0040"/>
    <w:rsid w:val="004C2012"/>
    <w:rsid w:val="004C255C"/>
    <w:rsid w:val="004C28C9"/>
    <w:rsid w:val="004D59B8"/>
    <w:rsid w:val="004E42FA"/>
    <w:rsid w:val="004E4901"/>
    <w:rsid w:val="004E68EA"/>
    <w:rsid w:val="004F0E28"/>
    <w:rsid w:val="00503122"/>
    <w:rsid w:val="00505D50"/>
    <w:rsid w:val="00511D5B"/>
    <w:rsid w:val="00512783"/>
    <w:rsid w:val="00514DE0"/>
    <w:rsid w:val="00516C35"/>
    <w:rsid w:val="00520EF8"/>
    <w:rsid w:val="00523379"/>
    <w:rsid w:val="00526185"/>
    <w:rsid w:val="005278A2"/>
    <w:rsid w:val="005327FB"/>
    <w:rsid w:val="00547B13"/>
    <w:rsid w:val="0055517C"/>
    <w:rsid w:val="0057080B"/>
    <w:rsid w:val="00572EC9"/>
    <w:rsid w:val="00574EE1"/>
    <w:rsid w:val="00577610"/>
    <w:rsid w:val="00581719"/>
    <w:rsid w:val="00583E50"/>
    <w:rsid w:val="00585568"/>
    <w:rsid w:val="00591F25"/>
    <w:rsid w:val="00594214"/>
    <w:rsid w:val="005A2976"/>
    <w:rsid w:val="005A2BF5"/>
    <w:rsid w:val="005A5336"/>
    <w:rsid w:val="005B056C"/>
    <w:rsid w:val="005B0F98"/>
    <w:rsid w:val="005B2BC2"/>
    <w:rsid w:val="005B7823"/>
    <w:rsid w:val="005C189C"/>
    <w:rsid w:val="005D40CD"/>
    <w:rsid w:val="005D6383"/>
    <w:rsid w:val="005D7908"/>
    <w:rsid w:val="005E1487"/>
    <w:rsid w:val="005E61EA"/>
    <w:rsid w:val="005E74CC"/>
    <w:rsid w:val="005F19C8"/>
    <w:rsid w:val="005F206E"/>
    <w:rsid w:val="005F2702"/>
    <w:rsid w:val="00602235"/>
    <w:rsid w:val="0060685D"/>
    <w:rsid w:val="00610EBB"/>
    <w:rsid w:val="00611D07"/>
    <w:rsid w:val="00621F38"/>
    <w:rsid w:val="006264F2"/>
    <w:rsid w:val="00630DE9"/>
    <w:rsid w:val="00631354"/>
    <w:rsid w:val="006333E2"/>
    <w:rsid w:val="00633D61"/>
    <w:rsid w:val="00635951"/>
    <w:rsid w:val="00640081"/>
    <w:rsid w:val="00642D05"/>
    <w:rsid w:val="006441C9"/>
    <w:rsid w:val="00647FC0"/>
    <w:rsid w:val="00650669"/>
    <w:rsid w:val="00654891"/>
    <w:rsid w:val="006654DA"/>
    <w:rsid w:val="00665AD8"/>
    <w:rsid w:val="006701BB"/>
    <w:rsid w:val="00670BB8"/>
    <w:rsid w:val="00670C75"/>
    <w:rsid w:val="00674D06"/>
    <w:rsid w:val="00677807"/>
    <w:rsid w:val="006842CE"/>
    <w:rsid w:val="00686F24"/>
    <w:rsid w:val="0069275A"/>
    <w:rsid w:val="006937E0"/>
    <w:rsid w:val="006953F7"/>
    <w:rsid w:val="00695570"/>
    <w:rsid w:val="006A4254"/>
    <w:rsid w:val="006A68F8"/>
    <w:rsid w:val="006B0A50"/>
    <w:rsid w:val="006B6325"/>
    <w:rsid w:val="006C2A60"/>
    <w:rsid w:val="006C34BF"/>
    <w:rsid w:val="006D78D8"/>
    <w:rsid w:val="006E3B0B"/>
    <w:rsid w:val="006F2102"/>
    <w:rsid w:val="007008FB"/>
    <w:rsid w:val="00702C00"/>
    <w:rsid w:val="007254EB"/>
    <w:rsid w:val="00731F54"/>
    <w:rsid w:val="0073350E"/>
    <w:rsid w:val="0073490F"/>
    <w:rsid w:val="00743C53"/>
    <w:rsid w:val="00745C79"/>
    <w:rsid w:val="007469A3"/>
    <w:rsid w:val="00746ED4"/>
    <w:rsid w:val="00751DE3"/>
    <w:rsid w:val="007575EE"/>
    <w:rsid w:val="007578DD"/>
    <w:rsid w:val="007600CE"/>
    <w:rsid w:val="007622C6"/>
    <w:rsid w:val="00764D72"/>
    <w:rsid w:val="00766496"/>
    <w:rsid w:val="007872B8"/>
    <w:rsid w:val="0079114F"/>
    <w:rsid w:val="007A05DE"/>
    <w:rsid w:val="007A0A65"/>
    <w:rsid w:val="007A4715"/>
    <w:rsid w:val="007B1B3D"/>
    <w:rsid w:val="007C0934"/>
    <w:rsid w:val="007C1971"/>
    <w:rsid w:val="007C405B"/>
    <w:rsid w:val="007C62E9"/>
    <w:rsid w:val="007E4EDA"/>
    <w:rsid w:val="007E6F0B"/>
    <w:rsid w:val="007E7891"/>
    <w:rsid w:val="007F6803"/>
    <w:rsid w:val="00805129"/>
    <w:rsid w:val="00805777"/>
    <w:rsid w:val="00806526"/>
    <w:rsid w:val="00806658"/>
    <w:rsid w:val="008105B5"/>
    <w:rsid w:val="00812C2D"/>
    <w:rsid w:val="00822830"/>
    <w:rsid w:val="00823E99"/>
    <w:rsid w:val="00824358"/>
    <w:rsid w:val="00824703"/>
    <w:rsid w:val="008279CC"/>
    <w:rsid w:val="00832028"/>
    <w:rsid w:val="00833AC0"/>
    <w:rsid w:val="00835329"/>
    <w:rsid w:val="008427A8"/>
    <w:rsid w:val="00843B8B"/>
    <w:rsid w:val="00843C57"/>
    <w:rsid w:val="008443A4"/>
    <w:rsid w:val="00844A1A"/>
    <w:rsid w:val="00847CFA"/>
    <w:rsid w:val="00850037"/>
    <w:rsid w:val="008511BA"/>
    <w:rsid w:val="00851A87"/>
    <w:rsid w:val="008578F4"/>
    <w:rsid w:val="0086353A"/>
    <w:rsid w:val="00864ED8"/>
    <w:rsid w:val="00865A94"/>
    <w:rsid w:val="0086727A"/>
    <w:rsid w:val="00874B42"/>
    <w:rsid w:val="00891B60"/>
    <w:rsid w:val="00892807"/>
    <w:rsid w:val="00893D7A"/>
    <w:rsid w:val="008971D7"/>
    <w:rsid w:val="008A1022"/>
    <w:rsid w:val="008A25E9"/>
    <w:rsid w:val="008A704F"/>
    <w:rsid w:val="008B0AA2"/>
    <w:rsid w:val="008B4198"/>
    <w:rsid w:val="008B5336"/>
    <w:rsid w:val="008B580B"/>
    <w:rsid w:val="008C73CC"/>
    <w:rsid w:val="008E0757"/>
    <w:rsid w:val="008E4C0A"/>
    <w:rsid w:val="008F2E9B"/>
    <w:rsid w:val="008F4A91"/>
    <w:rsid w:val="008F7AF7"/>
    <w:rsid w:val="009013E9"/>
    <w:rsid w:val="00901518"/>
    <w:rsid w:val="009041D0"/>
    <w:rsid w:val="0090577B"/>
    <w:rsid w:val="00907E57"/>
    <w:rsid w:val="009120BA"/>
    <w:rsid w:val="00912CCC"/>
    <w:rsid w:val="009134A1"/>
    <w:rsid w:val="009168B0"/>
    <w:rsid w:val="00925511"/>
    <w:rsid w:val="009355B6"/>
    <w:rsid w:val="0094045A"/>
    <w:rsid w:val="00947FC8"/>
    <w:rsid w:val="009537F9"/>
    <w:rsid w:val="00955A6B"/>
    <w:rsid w:val="009560FC"/>
    <w:rsid w:val="009576B7"/>
    <w:rsid w:val="009604FD"/>
    <w:rsid w:val="00964FE2"/>
    <w:rsid w:val="00972996"/>
    <w:rsid w:val="009806BB"/>
    <w:rsid w:val="0098449F"/>
    <w:rsid w:val="00984ADA"/>
    <w:rsid w:val="009A0678"/>
    <w:rsid w:val="009A5C7B"/>
    <w:rsid w:val="009B1DE3"/>
    <w:rsid w:val="009B2C63"/>
    <w:rsid w:val="009B62B9"/>
    <w:rsid w:val="009C0646"/>
    <w:rsid w:val="009C1271"/>
    <w:rsid w:val="009C1996"/>
    <w:rsid w:val="009C3EA1"/>
    <w:rsid w:val="009C75FB"/>
    <w:rsid w:val="009D0CE1"/>
    <w:rsid w:val="009D100F"/>
    <w:rsid w:val="009D3FCF"/>
    <w:rsid w:val="009D5855"/>
    <w:rsid w:val="009D7589"/>
    <w:rsid w:val="009E0606"/>
    <w:rsid w:val="009E0B50"/>
    <w:rsid w:val="009E0FA4"/>
    <w:rsid w:val="009E10C9"/>
    <w:rsid w:val="009E1755"/>
    <w:rsid w:val="009E48FE"/>
    <w:rsid w:val="009E6B3B"/>
    <w:rsid w:val="009F0A77"/>
    <w:rsid w:val="009F72E6"/>
    <w:rsid w:val="00A07E24"/>
    <w:rsid w:val="00A122C4"/>
    <w:rsid w:val="00A21321"/>
    <w:rsid w:val="00A276FE"/>
    <w:rsid w:val="00A30B7C"/>
    <w:rsid w:val="00A33F58"/>
    <w:rsid w:val="00A37570"/>
    <w:rsid w:val="00A43C59"/>
    <w:rsid w:val="00A5105E"/>
    <w:rsid w:val="00A53C76"/>
    <w:rsid w:val="00A5638F"/>
    <w:rsid w:val="00A57B70"/>
    <w:rsid w:val="00A72355"/>
    <w:rsid w:val="00A738C9"/>
    <w:rsid w:val="00A835AC"/>
    <w:rsid w:val="00A93315"/>
    <w:rsid w:val="00A94CA6"/>
    <w:rsid w:val="00AA1200"/>
    <w:rsid w:val="00AA5720"/>
    <w:rsid w:val="00AA756F"/>
    <w:rsid w:val="00AA7C9F"/>
    <w:rsid w:val="00AB673B"/>
    <w:rsid w:val="00AC2297"/>
    <w:rsid w:val="00AC60AC"/>
    <w:rsid w:val="00AC6630"/>
    <w:rsid w:val="00AD0471"/>
    <w:rsid w:val="00AD11D4"/>
    <w:rsid w:val="00AD68E0"/>
    <w:rsid w:val="00AE6C18"/>
    <w:rsid w:val="00AE7E72"/>
    <w:rsid w:val="00AF4FBA"/>
    <w:rsid w:val="00B01520"/>
    <w:rsid w:val="00B04A70"/>
    <w:rsid w:val="00B14C85"/>
    <w:rsid w:val="00B16003"/>
    <w:rsid w:val="00B2092A"/>
    <w:rsid w:val="00B25B26"/>
    <w:rsid w:val="00B278DF"/>
    <w:rsid w:val="00B30170"/>
    <w:rsid w:val="00B32224"/>
    <w:rsid w:val="00B32D6B"/>
    <w:rsid w:val="00B33930"/>
    <w:rsid w:val="00B34A24"/>
    <w:rsid w:val="00B34AAC"/>
    <w:rsid w:val="00B35DC1"/>
    <w:rsid w:val="00B35ED3"/>
    <w:rsid w:val="00B57638"/>
    <w:rsid w:val="00B617D3"/>
    <w:rsid w:val="00B62C7D"/>
    <w:rsid w:val="00B745CE"/>
    <w:rsid w:val="00B7726E"/>
    <w:rsid w:val="00B80C59"/>
    <w:rsid w:val="00B8204F"/>
    <w:rsid w:val="00B826AB"/>
    <w:rsid w:val="00B87830"/>
    <w:rsid w:val="00B96707"/>
    <w:rsid w:val="00B96DD1"/>
    <w:rsid w:val="00BA191E"/>
    <w:rsid w:val="00BA3D66"/>
    <w:rsid w:val="00BA5638"/>
    <w:rsid w:val="00BA6D27"/>
    <w:rsid w:val="00BB662D"/>
    <w:rsid w:val="00BC1322"/>
    <w:rsid w:val="00BC1B37"/>
    <w:rsid w:val="00BC38CD"/>
    <w:rsid w:val="00BE5D5C"/>
    <w:rsid w:val="00BF4960"/>
    <w:rsid w:val="00BF7354"/>
    <w:rsid w:val="00C02E5F"/>
    <w:rsid w:val="00C1091C"/>
    <w:rsid w:val="00C10AF6"/>
    <w:rsid w:val="00C11BA8"/>
    <w:rsid w:val="00C14CAA"/>
    <w:rsid w:val="00C216B8"/>
    <w:rsid w:val="00C31654"/>
    <w:rsid w:val="00C36518"/>
    <w:rsid w:val="00C4532F"/>
    <w:rsid w:val="00C50A5D"/>
    <w:rsid w:val="00C54084"/>
    <w:rsid w:val="00C61898"/>
    <w:rsid w:val="00C61EA3"/>
    <w:rsid w:val="00C63727"/>
    <w:rsid w:val="00C65215"/>
    <w:rsid w:val="00C655A7"/>
    <w:rsid w:val="00C67D12"/>
    <w:rsid w:val="00C75019"/>
    <w:rsid w:val="00C75B30"/>
    <w:rsid w:val="00C76F62"/>
    <w:rsid w:val="00C81221"/>
    <w:rsid w:val="00C94F2D"/>
    <w:rsid w:val="00CA1476"/>
    <w:rsid w:val="00CA1963"/>
    <w:rsid w:val="00CA240C"/>
    <w:rsid w:val="00CA45D8"/>
    <w:rsid w:val="00CA4E8E"/>
    <w:rsid w:val="00CA5903"/>
    <w:rsid w:val="00CB2845"/>
    <w:rsid w:val="00CE0C5E"/>
    <w:rsid w:val="00CE5DC3"/>
    <w:rsid w:val="00CE75AB"/>
    <w:rsid w:val="00CF10F1"/>
    <w:rsid w:val="00D021B0"/>
    <w:rsid w:val="00D02EAD"/>
    <w:rsid w:val="00D05E54"/>
    <w:rsid w:val="00D0611B"/>
    <w:rsid w:val="00D06A91"/>
    <w:rsid w:val="00D12354"/>
    <w:rsid w:val="00D13C40"/>
    <w:rsid w:val="00D1552B"/>
    <w:rsid w:val="00D1641E"/>
    <w:rsid w:val="00D1682E"/>
    <w:rsid w:val="00D2329B"/>
    <w:rsid w:val="00D2383B"/>
    <w:rsid w:val="00D2432F"/>
    <w:rsid w:val="00D26813"/>
    <w:rsid w:val="00D2704D"/>
    <w:rsid w:val="00D323DA"/>
    <w:rsid w:val="00D41C2C"/>
    <w:rsid w:val="00D501D3"/>
    <w:rsid w:val="00D511EA"/>
    <w:rsid w:val="00D51925"/>
    <w:rsid w:val="00D5748D"/>
    <w:rsid w:val="00D6041F"/>
    <w:rsid w:val="00D6175A"/>
    <w:rsid w:val="00D6334B"/>
    <w:rsid w:val="00D6406E"/>
    <w:rsid w:val="00D7351E"/>
    <w:rsid w:val="00D7585F"/>
    <w:rsid w:val="00D8033E"/>
    <w:rsid w:val="00D808D1"/>
    <w:rsid w:val="00D83881"/>
    <w:rsid w:val="00D840C1"/>
    <w:rsid w:val="00D9239F"/>
    <w:rsid w:val="00D97A4A"/>
    <w:rsid w:val="00D97DA4"/>
    <w:rsid w:val="00DA21C3"/>
    <w:rsid w:val="00DA5A0A"/>
    <w:rsid w:val="00DB0579"/>
    <w:rsid w:val="00DB43F9"/>
    <w:rsid w:val="00DB769B"/>
    <w:rsid w:val="00DD00E9"/>
    <w:rsid w:val="00DE3172"/>
    <w:rsid w:val="00DE645D"/>
    <w:rsid w:val="00DF0236"/>
    <w:rsid w:val="00DF69D5"/>
    <w:rsid w:val="00DF6C40"/>
    <w:rsid w:val="00E02921"/>
    <w:rsid w:val="00E03DFB"/>
    <w:rsid w:val="00E14F95"/>
    <w:rsid w:val="00E16D15"/>
    <w:rsid w:val="00E3100B"/>
    <w:rsid w:val="00E345BE"/>
    <w:rsid w:val="00E34F46"/>
    <w:rsid w:val="00E36961"/>
    <w:rsid w:val="00E400AE"/>
    <w:rsid w:val="00E4457C"/>
    <w:rsid w:val="00E47BE0"/>
    <w:rsid w:val="00E47D83"/>
    <w:rsid w:val="00E50B05"/>
    <w:rsid w:val="00E52FF6"/>
    <w:rsid w:val="00E55EC3"/>
    <w:rsid w:val="00E6630D"/>
    <w:rsid w:val="00E66C6B"/>
    <w:rsid w:val="00E66C8C"/>
    <w:rsid w:val="00E72E8A"/>
    <w:rsid w:val="00E76DA6"/>
    <w:rsid w:val="00E957AD"/>
    <w:rsid w:val="00EA247D"/>
    <w:rsid w:val="00EA29D8"/>
    <w:rsid w:val="00EB28ED"/>
    <w:rsid w:val="00EB32C4"/>
    <w:rsid w:val="00EC5249"/>
    <w:rsid w:val="00EC7083"/>
    <w:rsid w:val="00ED1A51"/>
    <w:rsid w:val="00ED2DE2"/>
    <w:rsid w:val="00ED378F"/>
    <w:rsid w:val="00EE159C"/>
    <w:rsid w:val="00EF1EF2"/>
    <w:rsid w:val="00EF56BA"/>
    <w:rsid w:val="00F01809"/>
    <w:rsid w:val="00F01D61"/>
    <w:rsid w:val="00F20408"/>
    <w:rsid w:val="00F20AA2"/>
    <w:rsid w:val="00F21D48"/>
    <w:rsid w:val="00F2648B"/>
    <w:rsid w:val="00F37FE6"/>
    <w:rsid w:val="00F40C89"/>
    <w:rsid w:val="00F513E0"/>
    <w:rsid w:val="00F5723B"/>
    <w:rsid w:val="00F62CFE"/>
    <w:rsid w:val="00F63CC2"/>
    <w:rsid w:val="00F73629"/>
    <w:rsid w:val="00F74640"/>
    <w:rsid w:val="00F8034E"/>
    <w:rsid w:val="00F84C6F"/>
    <w:rsid w:val="00F861C0"/>
    <w:rsid w:val="00F97102"/>
    <w:rsid w:val="00FA7373"/>
    <w:rsid w:val="00FB1DB9"/>
    <w:rsid w:val="00FB2F50"/>
    <w:rsid w:val="00FB3113"/>
    <w:rsid w:val="00FB71BF"/>
    <w:rsid w:val="00FC5796"/>
    <w:rsid w:val="00FD41C3"/>
    <w:rsid w:val="00FE266A"/>
    <w:rsid w:val="00FE381B"/>
    <w:rsid w:val="00FF1425"/>
    <w:rsid w:val="00FF4694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B42BE3"/>
  <w14:defaultImageDpi w14:val="300"/>
  <w15:docId w15:val="{682A5023-1A37-9244-8B25-5F339E2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5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5DC3"/>
  </w:style>
  <w:style w:type="paragraph" w:styleId="ListParagraph">
    <w:name w:val="List Paragraph"/>
    <w:basedOn w:val="Normal"/>
    <w:uiPriority w:val="34"/>
    <w:qFormat/>
    <w:rsid w:val="0043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7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C10AF6"/>
  </w:style>
  <w:style w:type="character" w:customStyle="1" w:styleId="apple-tab-span">
    <w:name w:val="apple-tab-span"/>
    <w:basedOn w:val="DefaultParagraphFont"/>
    <w:rsid w:val="00D8033E"/>
  </w:style>
  <w:style w:type="paragraph" w:styleId="Header">
    <w:name w:val="header"/>
    <w:basedOn w:val="Normal"/>
    <w:link w:val="HeaderChar"/>
    <w:uiPriority w:val="99"/>
    <w:unhideWhenUsed/>
    <w:rsid w:val="0074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A3"/>
    <w:rPr>
      <w:sz w:val="24"/>
      <w:szCs w:val="24"/>
      <w:lang w:eastAsia="en-US"/>
    </w:rPr>
  </w:style>
  <w:style w:type="numbering" w:customStyle="1" w:styleId="CurrentList1">
    <w:name w:val="Current List1"/>
    <w:uiPriority w:val="99"/>
    <w:rsid w:val="009013E9"/>
    <w:pPr>
      <w:numPr>
        <w:numId w:val="15"/>
      </w:numPr>
    </w:pPr>
  </w:style>
  <w:style w:type="numbering" w:customStyle="1" w:styleId="CurrentList2">
    <w:name w:val="Current List2"/>
    <w:uiPriority w:val="99"/>
    <w:rsid w:val="009013E9"/>
    <w:pPr>
      <w:numPr>
        <w:numId w:val="17"/>
      </w:numPr>
    </w:pPr>
  </w:style>
  <w:style w:type="numbering" w:customStyle="1" w:styleId="CurrentList3">
    <w:name w:val="Current List3"/>
    <w:uiPriority w:val="99"/>
    <w:rsid w:val="005D40CD"/>
    <w:pPr>
      <w:numPr>
        <w:numId w:val="19"/>
      </w:numPr>
    </w:pPr>
  </w:style>
  <w:style w:type="numbering" w:customStyle="1" w:styleId="CurrentList4">
    <w:name w:val="Current List4"/>
    <w:uiPriority w:val="99"/>
    <w:rsid w:val="00695570"/>
    <w:pPr>
      <w:numPr>
        <w:numId w:val="22"/>
      </w:numPr>
    </w:pPr>
  </w:style>
  <w:style w:type="numbering" w:customStyle="1" w:styleId="CurrentList5">
    <w:name w:val="Current List5"/>
    <w:uiPriority w:val="99"/>
    <w:rsid w:val="00B62C7D"/>
    <w:pPr>
      <w:numPr>
        <w:numId w:val="26"/>
      </w:numPr>
    </w:pPr>
  </w:style>
  <w:style w:type="numbering" w:customStyle="1" w:styleId="CurrentList6">
    <w:name w:val="Current List6"/>
    <w:uiPriority w:val="99"/>
    <w:rsid w:val="00AC60AC"/>
    <w:pPr>
      <w:numPr>
        <w:numId w:val="31"/>
      </w:numPr>
    </w:pPr>
  </w:style>
  <w:style w:type="paragraph" w:customStyle="1" w:styleId="MediumGrid1-Accent21">
    <w:name w:val="Medium Grid 1 - Accent 21"/>
    <w:basedOn w:val="Normal"/>
    <w:qFormat/>
    <w:rsid w:val="00E400AE"/>
    <w:pPr>
      <w:ind w:left="720"/>
    </w:pPr>
    <w:rPr>
      <w:rFonts w:eastAsia="Times New Roman"/>
      <w:lang w:val="en-CA"/>
    </w:rPr>
  </w:style>
  <w:style w:type="numbering" w:customStyle="1" w:styleId="CurrentList7">
    <w:name w:val="Current List7"/>
    <w:uiPriority w:val="99"/>
    <w:rsid w:val="00892807"/>
    <w:pPr>
      <w:numPr>
        <w:numId w:val="34"/>
      </w:numPr>
    </w:pPr>
  </w:style>
  <w:style w:type="numbering" w:customStyle="1" w:styleId="CurrentList8">
    <w:name w:val="Current List8"/>
    <w:uiPriority w:val="99"/>
    <w:rsid w:val="00D1552B"/>
    <w:pPr>
      <w:numPr>
        <w:numId w:val="37"/>
      </w:numPr>
    </w:pPr>
  </w:style>
  <w:style w:type="numbering" w:customStyle="1" w:styleId="CurrentList9">
    <w:name w:val="Current List9"/>
    <w:uiPriority w:val="99"/>
    <w:rsid w:val="008E0757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5CC69-F30B-419A-B1FD-F7CE455D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Ainsworth</dc:creator>
  <cp:keywords/>
  <dc:description/>
  <cp:lastModifiedBy>Jackie Ainsworth</cp:lastModifiedBy>
  <cp:revision>8</cp:revision>
  <cp:lastPrinted>2021-06-09T14:52:00Z</cp:lastPrinted>
  <dcterms:created xsi:type="dcterms:W3CDTF">2022-04-28T15:18:00Z</dcterms:created>
  <dcterms:modified xsi:type="dcterms:W3CDTF">2022-05-04T20:16:00Z</dcterms:modified>
</cp:coreProperties>
</file>